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7C4" w:rsidRDefault="009247C4" w:rsidP="00030821">
      <w:pPr>
        <w:pStyle w:val="Heading1"/>
        <w:spacing w:before="0"/>
      </w:pPr>
      <w:bookmarkStart w:id="0" w:name="_Toc448826912"/>
      <w:bookmarkStart w:id="1" w:name="_Toc449693282"/>
      <w:r>
        <w:t xml:space="preserve">Table V1.15 - </w:t>
      </w:r>
      <w:r w:rsidRPr="00BF20C4">
        <w:t>Payment services</w:t>
      </w:r>
      <w:r>
        <w:t xml:space="preserve"> provided</w:t>
      </w:r>
      <w:r w:rsidR="00F71C30">
        <w:t xml:space="preserve"> by E-money I</w:t>
      </w:r>
      <w:r w:rsidRPr="00BF20C4">
        <w:t>nstit</w:t>
      </w:r>
      <w:r w:rsidR="00396898">
        <w:t>utions and Payment Institutions</w:t>
      </w:r>
    </w:p>
    <w:p w:rsidR="00E47640" w:rsidRPr="006C5B9B" w:rsidRDefault="00E47640" w:rsidP="00030821">
      <w:pPr>
        <w:pStyle w:val="Heading2"/>
        <w:spacing w:before="0"/>
      </w:pPr>
      <w:r w:rsidRPr="00B00D03">
        <w:t xml:space="preserve">General </w:t>
      </w:r>
      <w:r w:rsidRPr="000445DF">
        <w:t>description</w:t>
      </w:r>
      <w:r w:rsidRPr="006C5B9B">
        <w:t xml:space="preserve"> </w:t>
      </w:r>
      <w:bookmarkEnd w:id="0"/>
      <w:bookmarkEnd w:id="1"/>
    </w:p>
    <w:p w:rsidR="00E47640" w:rsidRDefault="00E47640" w:rsidP="0068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12750A" w:rsidRPr="00F76B58" w:rsidRDefault="005D71D2" w:rsidP="00614DB9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F76B58">
        <w:rPr>
          <w:rFonts w:cs="Times New Roman"/>
          <w:bCs/>
        </w:rPr>
        <w:t xml:space="preserve">This reporting aims at capturing the payment services activities </w:t>
      </w:r>
      <w:r w:rsidR="0012750A" w:rsidRPr="00F76B58">
        <w:rPr>
          <w:rFonts w:cs="Times New Roman"/>
          <w:bCs/>
        </w:rPr>
        <w:t>provided by</w:t>
      </w:r>
      <w:r w:rsidRPr="00F76B58">
        <w:rPr>
          <w:rFonts w:cs="Times New Roman"/>
          <w:bCs/>
        </w:rPr>
        <w:t xml:space="preserve"> </w:t>
      </w:r>
      <w:r w:rsidR="00F76B58">
        <w:rPr>
          <w:rFonts w:cs="Times New Roman"/>
          <w:bCs/>
        </w:rPr>
        <w:t>E-money in</w:t>
      </w:r>
      <w:bookmarkStart w:id="2" w:name="_GoBack"/>
      <w:bookmarkEnd w:id="2"/>
      <w:r w:rsidR="00F76B58">
        <w:rPr>
          <w:rFonts w:cs="Times New Roman"/>
          <w:bCs/>
        </w:rPr>
        <w:t>stitutions (</w:t>
      </w:r>
      <w:r w:rsidRPr="00F76B58">
        <w:rPr>
          <w:rFonts w:cs="Times New Roman"/>
          <w:bCs/>
        </w:rPr>
        <w:t>ELMI</w:t>
      </w:r>
      <w:r w:rsidR="00F76B58">
        <w:rPr>
          <w:rFonts w:cs="Times New Roman"/>
          <w:bCs/>
        </w:rPr>
        <w:t>)</w:t>
      </w:r>
      <w:r w:rsidR="0056556F">
        <w:rPr>
          <w:rFonts w:cs="Times New Roman"/>
          <w:bCs/>
        </w:rPr>
        <w:t xml:space="preserve"> </w:t>
      </w:r>
      <w:r w:rsidR="00F76B58">
        <w:rPr>
          <w:rFonts w:cs="Times New Roman"/>
          <w:bCs/>
        </w:rPr>
        <w:t>and Payment institutions (</w:t>
      </w:r>
      <w:r w:rsidRPr="00F76B58">
        <w:rPr>
          <w:rFonts w:cs="Times New Roman"/>
          <w:bCs/>
        </w:rPr>
        <w:t>PI</w:t>
      </w:r>
      <w:r w:rsidR="00F76B58">
        <w:rPr>
          <w:rFonts w:cs="Times New Roman"/>
          <w:bCs/>
        </w:rPr>
        <w:t>)</w:t>
      </w:r>
      <w:r w:rsidR="0012750A" w:rsidRPr="00F76B58">
        <w:rPr>
          <w:rFonts w:cs="Times New Roman"/>
          <w:bCs/>
        </w:rPr>
        <w:t xml:space="preserve">. </w:t>
      </w:r>
      <w:r w:rsidR="001A1EB4" w:rsidRPr="00F76B58">
        <w:rPr>
          <w:rFonts w:cs="Times New Roman"/>
          <w:bCs/>
        </w:rPr>
        <w:t>P</w:t>
      </w:r>
      <w:r w:rsidR="0012750A" w:rsidRPr="00F76B58">
        <w:rPr>
          <w:rFonts w:cs="Times New Roman"/>
          <w:bCs/>
        </w:rPr>
        <w:t xml:space="preserve">ayment services can be executed on accounts issued by the reporting entity itself or by another account issuer. </w:t>
      </w:r>
    </w:p>
    <w:p w:rsidR="0012750A" w:rsidRPr="00F76B58" w:rsidRDefault="0012750A" w:rsidP="00614DB9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5D71D2" w:rsidRDefault="0012750A" w:rsidP="00614DB9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F76B58">
        <w:rPr>
          <w:rFonts w:cs="Times New Roman"/>
          <w:bCs/>
        </w:rPr>
        <w:t xml:space="preserve">Table V1.15 </w:t>
      </w:r>
      <w:r w:rsidR="005D71D2" w:rsidRPr="00F76B58">
        <w:rPr>
          <w:rFonts w:cs="Times New Roman"/>
          <w:bCs/>
        </w:rPr>
        <w:t>exclud</w:t>
      </w:r>
      <w:r w:rsidRPr="00F76B58">
        <w:rPr>
          <w:rFonts w:cs="Times New Roman"/>
          <w:bCs/>
        </w:rPr>
        <w:t>es the</w:t>
      </w:r>
      <w:r w:rsidR="005D71D2" w:rsidRPr="00F76B58">
        <w:rPr>
          <w:rFonts w:cs="Times New Roman"/>
          <w:bCs/>
        </w:rPr>
        <w:t xml:space="preserve"> e-money activity</w:t>
      </w:r>
      <w:r w:rsidRPr="00F76B58">
        <w:rPr>
          <w:rFonts w:cs="Times New Roman"/>
          <w:bCs/>
        </w:rPr>
        <w:t xml:space="preserve"> from its scope</w:t>
      </w:r>
      <w:r w:rsidR="005D71D2" w:rsidRPr="00F76B58">
        <w:rPr>
          <w:rFonts w:cs="Times New Roman"/>
          <w:bCs/>
        </w:rPr>
        <w:t>.</w:t>
      </w:r>
      <w:r w:rsidR="008143C5">
        <w:rPr>
          <w:rFonts w:cs="Times New Roman"/>
          <w:bCs/>
        </w:rPr>
        <w:t xml:space="preserve"> The e-money activity is reported in tables V1.8 and V1.9.</w:t>
      </w:r>
      <w:r w:rsidR="005D71D2" w:rsidRPr="00F76B58">
        <w:rPr>
          <w:rFonts w:cs="Times New Roman"/>
          <w:bCs/>
        </w:rPr>
        <w:t xml:space="preserve"> </w:t>
      </w:r>
    </w:p>
    <w:p w:rsidR="003A2E90" w:rsidRDefault="003A2E90" w:rsidP="00614DB9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3A2E90" w:rsidRDefault="0056556F" w:rsidP="00614DB9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>
        <w:rPr>
          <w:rFonts w:cs="Times New Roman"/>
          <w:bCs/>
        </w:rPr>
        <w:t>Sub-t</w:t>
      </w:r>
      <w:r w:rsidR="003A2E90">
        <w:rPr>
          <w:rFonts w:cs="Times New Roman"/>
          <w:bCs/>
        </w:rPr>
        <w:t>able</w:t>
      </w:r>
      <w:r>
        <w:rPr>
          <w:rFonts w:cs="Times New Roman"/>
          <w:bCs/>
        </w:rPr>
        <w:t>s</w:t>
      </w:r>
      <w:r w:rsidR="003A2E90">
        <w:rPr>
          <w:rFonts w:cs="Times New Roman"/>
          <w:bCs/>
        </w:rPr>
        <w:t xml:space="preserve"> V1.15.1 and V1.15.3 apply to reporting agents who provide accounts</w:t>
      </w:r>
      <w:r w:rsidR="008143C5">
        <w:rPr>
          <w:rFonts w:cs="Times New Roman"/>
          <w:bCs/>
        </w:rPr>
        <w:t xml:space="preserve"> for payment purposes</w:t>
      </w:r>
      <w:r w:rsidR="003A2E90">
        <w:rPr>
          <w:rFonts w:cs="Times New Roman"/>
          <w:bCs/>
        </w:rPr>
        <w:t xml:space="preserve"> to payment services users.</w:t>
      </w:r>
    </w:p>
    <w:p w:rsidR="003A2E90" w:rsidRDefault="003A2E90" w:rsidP="00614DB9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3A2E90" w:rsidRPr="003A2E90" w:rsidRDefault="003A2E90" w:rsidP="003A2E90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3A2E90">
        <w:rPr>
          <w:rFonts w:cs="Times New Roman"/>
          <w:bCs/>
        </w:rPr>
        <w:t>Table</w:t>
      </w:r>
      <w:r>
        <w:rPr>
          <w:rFonts w:cs="Times New Roman"/>
          <w:bCs/>
        </w:rPr>
        <w:t xml:space="preserve"> V1.15.6</w:t>
      </w:r>
      <w:r w:rsidRPr="003A2E90">
        <w:rPr>
          <w:rFonts w:cs="Times New Roman"/>
          <w:bCs/>
        </w:rPr>
        <w:t xml:space="preserve"> applies </w:t>
      </w:r>
      <w:r>
        <w:rPr>
          <w:rFonts w:cs="Times New Roman"/>
          <w:bCs/>
        </w:rPr>
        <w:t>to reporting agents</w:t>
      </w:r>
      <w:r w:rsidRPr="003A2E90">
        <w:rPr>
          <w:rFonts w:cs="Times New Roman"/>
          <w:bCs/>
        </w:rPr>
        <w:t xml:space="preserve"> who provide payment services to users on the accounts held by the users with another payment service provider than the reporting entity.</w:t>
      </w:r>
      <w:r>
        <w:rPr>
          <w:rStyle w:val="FootnoteReference"/>
          <w:rFonts w:cs="Times New Roman"/>
          <w:bCs/>
        </w:rPr>
        <w:footnoteReference w:id="1"/>
      </w:r>
    </w:p>
    <w:p w:rsidR="003A2E90" w:rsidRPr="00F76B58" w:rsidRDefault="003A2E90" w:rsidP="00614DB9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680CB0" w:rsidRDefault="00333DD0" w:rsidP="009216E5">
      <w:pPr>
        <w:pStyle w:val="Heading2"/>
      </w:pPr>
      <w:r>
        <w:t>Instructions</w:t>
      </w:r>
    </w:p>
    <w:p w:rsidR="00C47ECF" w:rsidRDefault="009216E5" w:rsidP="009216E5">
      <w:r>
        <w:t>Table V1.15 is part of the</w:t>
      </w:r>
      <w:r w:rsidRPr="009216E5">
        <w:t xml:space="preserve"> </w:t>
      </w:r>
      <w:r>
        <w:t xml:space="preserve">data collections on payment instruments and operations under BCL Regulation 2011/N°9 of 4 July 2011, as amended by BCL </w:t>
      </w:r>
      <w:r w:rsidRPr="009216E5">
        <w:t>Regulation 2015/N°20 of 24 August 2015</w:t>
      </w:r>
      <w:r>
        <w:t xml:space="preserve">. </w:t>
      </w:r>
      <w:r w:rsidR="0056556F">
        <w:t xml:space="preserve">The technical requirements of the </w:t>
      </w:r>
      <w:r w:rsidR="008143C5">
        <w:t>V-reports</w:t>
      </w:r>
      <w:r w:rsidR="0056556F">
        <w:t xml:space="preserve"> apply </w:t>
      </w:r>
      <w:r w:rsidR="008143C5">
        <w:t xml:space="preserve">also </w:t>
      </w:r>
      <w:r w:rsidR="0056556F">
        <w:t>to table V1.15: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7725"/>
      </w:tblGrid>
      <w:tr w:rsidR="00333DD0" w:rsidRPr="00942A3F" w:rsidTr="00E96D31">
        <w:tc>
          <w:tcPr>
            <w:tcW w:w="3085" w:type="dxa"/>
          </w:tcPr>
          <w:p w:rsidR="00333DD0" w:rsidRPr="00942A3F" w:rsidRDefault="00333DD0" w:rsidP="00EB44A2">
            <w:pPr>
              <w:spacing w:before="60" w:after="60" w:line="240" w:lineRule="atLeast"/>
              <w:rPr>
                <w:b/>
                <w:smallCaps/>
                <w:sz w:val="20"/>
                <w:szCs w:val="20"/>
              </w:rPr>
            </w:pPr>
            <w:r w:rsidRPr="00942A3F">
              <w:rPr>
                <w:b/>
                <w:smallCaps/>
                <w:sz w:val="20"/>
                <w:szCs w:val="20"/>
              </w:rPr>
              <w:t>Item</w:t>
            </w:r>
          </w:p>
        </w:tc>
        <w:tc>
          <w:tcPr>
            <w:tcW w:w="7796" w:type="dxa"/>
          </w:tcPr>
          <w:p w:rsidR="00333DD0" w:rsidRPr="00942A3F" w:rsidRDefault="00333DD0" w:rsidP="00EB44A2">
            <w:pPr>
              <w:pStyle w:val="norm"/>
              <w:spacing w:line="240" w:lineRule="atLeast"/>
              <w:rPr>
                <w:b/>
                <w:smallCaps/>
                <w:sz w:val="20"/>
                <w:szCs w:val="20"/>
              </w:rPr>
            </w:pPr>
            <w:r w:rsidRPr="00942A3F">
              <w:rPr>
                <w:b/>
                <w:smallCaps/>
                <w:sz w:val="20"/>
                <w:szCs w:val="20"/>
              </w:rPr>
              <w:t>Description</w:t>
            </w:r>
          </w:p>
        </w:tc>
      </w:tr>
      <w:tr w:rsidR="00333DD0" w:rsidRPr="00942A3F" w:rsidTr="00E96D31">
        <w:trPr>
          <w:trHeight w:val="1532"/>
        </w:trPr>
        <w:tc>
          <w:tcPr>
            <w:tcW w:w="3085" w:type="dxa"/>
          </w:tcPr>
          <w:p w:rsidR="00333DD0" w:rsidRPr="00942A3F" w:rsidRDefault="00333DD0" w:rsidP="00EB44A2">
            <w:pPr>
              <w:spacing w:before="60" w:after="60" w:line="240" w:lineRule="atLeast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Content of</w:t>
            </w:r>
            <w:r w:rsidRPr="00942A3F">
              <w:rPr>
                <w:smallCaps/>
                <w:sz w:val="20"/>
                <w:szCs w:val="20"/>
              </w:rPr>
              <w:t xml:space="preserve"> the header of each table</w:t>
            </w:r>
          </w:p>
          <w:p w:rsidR="00333DD0" w:rsidRPr="00942A3F" w:rsidRDefault="00333DD0" w:rsidP="00EB44A2">
            <w:pPr>
              <w:spacing w:before="60" w:after="60"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:rsidR="009700F3" w:rsidRDefault="009700F3" w:rsidP="00EB44A2">
            <w:pPr>
              <w:pStyle w:val="norm"/>
              <w:spacing w:line="240" w:lineRule="atLeast"/>
              <w:rPr>
                <w:sz w:val="20"/>
                <w:szCs w:val="20"/>
              </w:rPr>
            </w:pPr>
            <w:r w:rsidRPr="00942A3F">
              <w:rPr>
                <w:sz w:val="20"/>
                <w:szCs w:val="20"/>
              </w:rPr>
              <w:t>▫</w:t>
            </w:r>
            <w:r>
              <w:rPr>
                <w:sz w:val="20"/>
                <w:szCs w:val="20"/>
              </w:rPr>
              <w:t xml:space="preserve"> End-month date</w:t>
            </w:r>
          </w:p>
          <w:p w:rsidR="009700F3" w:rsidRDefault="009700F3" w:rsidP="00EB44A2">
            <w:pPr>
              <w:pStyle w:val="norm"/>
              <w:spacing w:line="240" w:lineRule="atLeast"/>
              <w:rPr>
                <w:sz w:val="20"/>
                <w:szCs w:val="20"/>
              </w:rPr>
            </w:pPr>
            <w:r w:rsidRPr="00942A3F">
              <w:rPr>
                <w:sz w:val="20"/>
                <w:szCs w:val="20"/>
              </w:rPr>
              <w:t>▫</w:t>
            </w:r>
            <w:r>
              <w:rPr>
                <w:sz w:val="20"/>
                <w:szCs w:val="20"/>
              </w:rPr>
              <w:t xml:space="preserve"> Closing date</w:t>
            </w:r>
          </w:p>
          <w:p w:rsidR="009700F3" w:rsidRDefault="009700F3" w:rsidP="00EB44A2">
            <w:pPr>
              <w:pStyle w:val="norm"/>
              <w:spacing w:line="240" w:lineRule="atLeast"/>
              <w:rPr>
                <w:sz w:val="20"/>
                <w:szCs w:val="20"/>
              </w:rPr>
            </w:pPr>
            <w:r w:rsidRPr="00942A3F">
              <w:rPr>
                <w:sz w:val="20"/>
                <w:szCs w:val="20"/>
              </w:rPr>
              <w:t>▫</w:t>
            </w:r>
            <w:r>
              <w:rPr>
                <w:sz w:val="20"/>
                <w:szCs w:val="20"/>
              </w:rPr>
              <w:t xml:space="preserve"> Reporter ID (type and code)</w:t>
            </w:r>
          </w:p>
          <w:p w:rsidR="009700F3" w:rsidRDefault="009700F3" w:rsidP="00EB44A2">
            <w:pPr>
              <w:pStyle w:val="norm"/>
              <w:spacing w:line="240" w:lineRule="atLeast"/>
              <w:rPr>
                <w:sz w:val="20"/>
                <w:szCs w:val="20"/>
              </w:rPr>
            </w:pPr>
            <w:r w:rsidRPr="00942A3F">
              <w:rPr>
                <w:sz w:val="20"/>
                <w:szCs w:val="20"/>
              </w:rPr>
              <w:t>▫</w:t>
            </w:r>
            <w:r>
              <w:rPr>
                <w:sz w:val="20"/>
                <w:szCs w:val="20"/>
              </w:rPr>
              <w:t xml:space="preserve"> Currency</w:t>
            </w:r>
          </w:p>
          <w:p w:rsidR="00333DD0" w:rsidRPr="00942A3F" w:rsidRDefault="009700F3" w:rsidP="009700F3">
            <w:pPr>
              <w:pStyle w:val="norm"/>
              <w:spacing w:line="240" w:lineRule="atLeast"/>
              <w:rPr>
                <w:b/>
                <w:sz w:val="20"/>
                <w:szCs w:val="20"/>
              </w:rPr>
            </w:pPr>
            <w:r w:rsidRPr="00942A3F">
              <w:rPr>
                <w:sz w:val="20"/>
                <w:szCs w:val="20"/>
              </w:rPr>
              <w:t>▫</w:t>
            </w:r>
            <w:r>
              <w:rPr>
                <w:sz w:val="20"/>
                <w:szCs w:val="20"/>
              </w:rPr>
              <w:t xml:space="preserve"> Layout</w:t>
            </w:r>
            <w:r w:rsidR="00333DD0" w:rsidRPr="00942A3F">
              <w:rPr>
                <w:sz w:val="20"/>
                <w:szCs w:val="20"/>
              </w:rPr>
              <w:t xml:space="preserve"> </w:t>
            </w:r>
          </w:p>
        </w:tc>
      </w:tr>
      <w:tr w:rsidR="00333DD0" w:rsidRPr="00942A3F" w:rsidTr="00E96D31">
        <w:tc>
          <w:tcPr>
            <w:tcW w:w="3085" w:type="dxa"/>
          </w:tcPr>
          <w:p w:rsidR="00333DD0" w:rsidRPr="00942A3F" w:rsidRDefault="00333DD0" w:rsidP="00EB44A2">
            <w:pPr>
              <w:spacing w:before="60" w:after="60" w:line="240" w:lineRule="atLeast"/>
              <w:rPr>
                <w:b/>
                <w:sz w:val="20"/>
                <w:szCs w:val="20"/>
              </w:rPr>
            </w:pPr>
            <w:r w:rsidRPr="00942A3F">
              <w:rPr>
                <w:smallCaps/>
                <w:sz w:val="20"/>
                <w:szCs w:val="20"/>
              </w:rPr>
              <w:t>Reporting of lines showing activity</w:t>
            </w:r>
            <w:r>
              <w:rPr>
                <w:smallCaps/>
                <w:sz w:val="20"/>
                <w:szCs w:val="20"/>
              </w:rPr>
              <w:t xml:space="preserve"> (Data lines)</w:t>
            </w:r>
          </w:p>
        </w:tc>
        <w:tc>
          <w:tcPr>
            <w:tcW w:w="7796" w:type="dxa"/>
          </w:tcPr>
          <w:p w:rsidR="00333DD0" w:rsidRPr="00942A3F" w:rsidRDefault="00333DD0" w:rsidP="00EB44A2">
            <w:pPr>
              <w:spacing w:before="60" w:after="60" w:line="240" w:lineRule="atLeast"/>
              <w:rPr>
                <w:sz w:val="20"/>
                <w:szCs w:val="20"/>
              </w:rPr>
            </w:pPr>
            <w:r w:rsidRPr="00942A3F">
              <w:rPr>
                <w:sz w:val="20"/>
                <w:szCs w:val="20"/>
              </w:rPr>
              <w:t>For every table or sub-table, only the combinations / lines for which the volume and the value are not equal to zero have to be reported. There is no need to report a line for every possible combination.</w:t>
            </w:r>
          </w:p>
          <w:p w:rsidR="00333DD0" w:rsidRPr="00942A3F" w:rsidRDefault="00333DD0" w:rsidP="00EB44A2">
            <w:pPr>
              <w:spacing w:before="60" w:after="60" w:line="240" w:lineRule="atLeast"/>
              <w:rPr>
                <w:b/>
                <w:sz w:val="20"/>
                <w:szCs w:val="20"/>
              </w:rPr>
            </w:pPr>
            <w:r w:rsidRPr="00942A3F">
              <w:rPr>
                <w:sz w:val="20"/>
                <w:szCs w:val="20"/>
              </w:rPr>
              <w:t>Example: if for a given currency there were no transactions, it is not required to send the line indicating a null volume and value.</w:t>
            </w:r>
          </w:p>
        </w:tc>
      </w:tr>
      <w:tr w:rsidR="00333DD0" w:rsidRPr="00942A3F" w:rsidTr="00E96D31">
        <w:tc>
          <w:tcPr>
            <w:tcW w:w="3085" w:type="dxa"/>
          </w:tcPr>
          <w:p w:rsidR="00333DD0" w:rsidRPr="00942A3F" w:rsidRDefault="00333DD0" w:rsidP="00EB44A2">
            <w:pPr>
              <w:spacing w:before="60" w:after="60" w:line="240" w:lineRule="atLeast"/>
              <w:rPr>
                <w:smallCaps/>
                <w:sz w:val="20"/>
                <w:szCs w:val="20"/>
              </w:rPr>
            </w:pPr>
            <w:r w:rsidRPr="00942A3F">
              <w:rPr>
                <w:smallCaps/>
                <w:sz w:val="20"/>
                <w:szCs w:val="20"/>
              </w:rPr>
              <w:t xml:space="preserve">Negative values </w:t>
            </w:r>
          </w:p>
        </w:tc>
        <w:tc>
          <w:tcPr>
            <w:tcW w:w="7796" w:type="dxa"/>
          </w:tcPr>
          <w:p w:rsidR="00333DD0" w:rsidRPr="00942A3F" w:rsidRDefault="001D590F" w:rsidP="00EB44A2">
            <w:pPr>
              <w:spacing w:before="60" w:after="60" w:line="240" w:lineRule="atLeast"/>
              <w:rPr>
                <w:sz w:val="20"/>
                <w:szCs w:val="20"/>
              </w:rPr>
            </w:pPr>
            <w:r w:rsidRPr="001D590F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>Negative values are not accepted in the V-reports. Figures have to be reported in their absolute value</w:t>
            </w:r>
            <w:r w:rsidRPr="00DD37B6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>, except for the sub-tables V1.8.1 and V1.15.1 where negative values are accepted.</w:t>
            </w:r>
          </w:p>
        </w:tc>
      </w:tr>
      <w:tr w:rsidR="00333DD0" w:rsidRPr="00942A3F" w:rsidTr="00E96D31">
        <w:tc>
          <w:tcPr>
            <w:tcW w:w="3085" w:type="dxa"/>
          </w:tcPr>
          <w:p w:rsidR="00333DD0" w:rsidRPr="00942A3F" w:rsidRDefault="00333DD0" w:rsidP="00EB44A2">
            <w:pPr>
              <w:spacing w:before="60" w:after="60" w:line="240" w:lineRule="atLeast"/>
              <w:rPr>
                <w:smallCaps/>
                <w:sz w:val="20"/>
                <w:szCs w:val="20"/>
              </w:rPr>
            </w:pPr>
            <w:r w:rsidRPr="00942A3F">
              <w:rPr>
                <w:smallCaps/>
                <w:sz w:val="20"/>
                <w:szCs w:val="20"/>
              </w:rPr>
              <w:t>Transmission of tables</w:t>
            </w:r>
          </w:p>
        </w:tc>
        <w:tc>
          <w:tcPr>
            <w:tcW w:w="7796" w:type="dxa"/>
          </w:tcPr>
          <w:p w:rsidR="00333DD0" w:rsidRPr="00942A3F" w:rsidRDefault="00333DD0" w:rsidP="00EB44A2">
            <w:pPr>
              <w:spacing w:before="60" w:after="6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  <w:r w:rsidRPr="00942A3F">
              <w:rPr>
                <w:sz w:val="20"/>
                <w:szCs w:val="20"/>
              </w:rPr>
              <w:t xml:space="preserve"> sub-tables pertaining to one table have to be sent together.</w:t>
            </w:r>
          </w:p>
          <w:p w:rsidR="00333DD0" w:rsidRPr="00942A3F" w:rsidRDefault="00333DD0" w:rsidP="00EB44A2">
            <w:pPr>
              <w:spacing w:before="60" w:after="60" w:line="240" w:lineRule="atLeast"/>
              <w:rPr>
                <w:sz w:val="20"/>
                <w:szCs w:val="20"/>
              </w:rPr>
            </w:pPr>
            <w:r w:rsidRPr="00942A3F">
              <w:rPr>
                <w:sz w:val="20"/>
                <w:szCs w:val="20"/>
              </w:rPr>
              <w:t>If the reporting agent has no activity for one of the payment instruments, an empty table - or table without data - should be sent to the BCL. In this case, the file should only contain the "header".</w:t>
            </w:r>
          </w:p>
        </w:tc>
      </w:tr>
      <w:tr w:rsidR="00333DD0" w:rsidRPr="00942A3F" w:rsidTr="00E96D31">
        <w:tc>
          <w:tcPr>
            <w:tcW w:w="3085" w:type="dxa"/>
          </w:tcPr>
          <w:p w:rsidR="00333DD0" w:rsidRPr="00942A3F" w:rsidRDefault="00333DD0" w:rsidP="00EB44A2">
            <w:pPr>
              <w:spacing w:before="60" w:after="60" w:line="240" w:lineRule="atLeast"/>
              <w:rPr>
                <w:sz w:val="20"/>
                <w:szCs w:val="20"/>
              </w:rPr>
            </w:pPr>
            <w:r w:rsidRPr="00942A3F">
              <w:rPr>
                <w:smallCaps/>
                <w:sz w:val="20"/>
                <w:szCs w:val="20"/>
              </w:rPr>
              <w:lastRenderedPageBreak/>
              <w:t>Sending corrections</w:t>
            </w:r>
          </w:p>
        </w:tc>
        <w:tc>
          <w:tcPr>
            <w:tcW w:w="7796" w:type="dxa"/>
          </w:tcPr>
          <w:p w:rsidR="00333DD0" w:rsidRPr="00942A3F" w:rsidRDefault="00333DD0" w:rsidP="00EB44A2">
            <w:pPr>
              <w:spacing w:before="60" w:after="60" w:line="240" w:lineRule="atLeast"/>
              <w:rPr>
                <w:sz w:val="20"/>
                <w:szCs w:val="20"/>
              </w:rPr>
            </w:pPr>
            <w:r w:rsidRPr="00942A3F">
              <w:rPr>
                <w:sz w:val="20"/>
                <w:szCs w:val="20"/>
              </w:rPr>
              <w:t xml:space="preserve">Note that when </w:t>
            </w:r>
            <w:r>
              <w:rPr>
                <w:sz w:val="20"/>
                <w:szCs w:val="20"/>
              </w:rPr>
              <w:t>resubmitting</w:t>
            </w:r>
            <w:r w:rsidRPr="00942A3F">
              <w:rPr>
                <w:sz w:val="20"/>
                <w:szCs w:val="20"/>
              </w:rPr>
              <w:t xml:space="preserve"> a table for a given period, the new table erases the former one. In particular, if a table contains several sub-tables, all the sub tables need to be </w:t>
            </w:r>
            <w:r>
              <w:rPr>
                <w:sz w:val="20"/>
                <w:szCs w:val="20"/>
              </w:rPr>
              <w:t>resubmitted</w:t>
            </w:r>
            <w:r w:rsidRPr="00942A3F">
              <w:rPr>
                <w:sz w:val="20"/>
                <w:szCs w:val="20"/>
              </w:rPr>
              <w:t xml:space="preserve"> </w:t>
            </w:r>
            <w:r w:rsidRPr="00942A3F">
              <w:rPr>
                <w:color w:val="000000"/>
                <w:sz w:val="20"/>
                <w:szCs w:val="20"/>
              </w:rPr>
              <w:t>when sending corrections</w:t>
            </w:r>
            <w:r w:rsidRPr="00942A3F">
              <w:rPr>
                <w:sz w:val="20"/>
                <w:szCs w:val="20"/>
              </w:rPr>
              <w:t xml:space="preserve">. Even if the corrections concern only one sub-table. </w:t>
            </w:r>
          </w:p>
        </w:tc>
      </w:tr>
      <w:tr w:rsidR="00EF6C16" w:rsidRPr="00942A3F" w:rsidTr="00E96D31">
        <w:tc>
          <w:tcPr>
            <w:tcW w:w="3085" w:type="dxa"/>
          </w:tcPr>
          <w:p w:rsidR="00EF6C16" w:rsidRPr="00942A3F" w:rsidRDefault="00EF6C16" w:rsidP="00EB44A2">
            <w:pPr>
              <w:spacing w:before="60" w:after="60" w:line="240" w:lineRule="atLeast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Volume / Value</w:t>
            </w:r>
          </w:p>
        </w:tc>
        <w:tc>
          <w:tcPr>
            <w:tcW w:w="7796" w:type="dxa"/>
          </w:tcPr>
          <w:p w:rsidR="00EF6C16" w:rsidRPr="00942A3F" w:rsidRDefault="00EF6C16" w:rsidP="00EB44A2">
            <w:pPr>
              <w:spacing w:before="60" w:after="6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each volume, a value is to be reported and vice versa.</w:t>
            </w:r>
          </w:p>
        </w:tc>
      </w:tr>
      <w:tr w:rsidR="00EF6C16" w:rsidRPr="00942A3F" w:rsidTr="00E96D31">
        <w:tc>
          <w:tcPr>
            <w:tcW w:w="3085" w:type="dxa"/>
          </w:tcPr>
          <w:p w:rsidR="00EF6C16" w:rsidRDefault="00EF6C16" w:rsidP="00EB44A2">
            <w:pPr>
              <w:spacing w:before="60" w:after="60" w:line="240" w:lineRule="atLeast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Country code</w:t>
            </w:r>
          </w:p>
        </w:tc>
        <w:tc>
          <w:tcPr>
            <w:tcW w:w="7796" w:type="dxa"/>
          </w:tcPr>
          <w:p w:rsidR="00EF6C16" w:rsidRDefault="00EF6C16" w:rsidP="00EB44A2">
            <w:pPr>
              <w:spacing w:before="60" w:after="60" w:line="240" w:lineRule="atLeast"/>
            </w:pPr>
            <w:r>
              <w:t>The country code to be reported is:</w:t>
            </w:r>
          </w:p>
          <w:p w:rsidR="00EF6C16" w:rsidRPr="00EF6C16" w:rsidRDefault="00EF6C16" w:rsidP="00EF6C16">
            <w:pPr>
              <w:pStyle w:val="ListParagraph"/>
              <w:numPr>
                <w:ilvl w:val="0"/>
                <w:numId w:val="5"/>
              </w:numPr>
              <w:spacing w:before="60" w:after="60" w:line="240" w:lineRule="atLeast"/>
              <w:rPr>
                <w:sz w:val="20"/>
                <w:szCs w:val="20"/>
              </w:rPr>
            </w:pPr>
            <w:r>
              <w:t xml:space="preserve">the </w:t>
            </w:r>
            <w:r w:rsidRPr="00295893">
              <w:t>2-LETTER ISO 3166 COUNTRY CODE</w:t>
            </w:r>
          </w:p>
          <w:p w:rsidR="00EF6C16" w:rsidRPr="00EF6C16" w:rsidRDefault="00EF6C16" w:rsidP="00EF6C16">
            <w:pPr>
              <w:pStyle w:val="ListParagraph"/>
              <w:numPr>
                <w:ilvl w:val="0"/>
                <w:numId w:val="5"/>
              </w:numPr>
              <w:spacing w:before="60" w:after="60" w:line="240" w:lineRule="atLeast"/>
              <w:rPr>
                <w:sz w:val="20"/>
                <w:szCs w:val="20"/>
              </w:rPr>
            </w:pPr>
            <w:r>
              <w:t>the code XX when the country is unknown</w:t>
            </w:r>
          </w:p>
        </w:tc>
      </w:tr>
      <w:tr w:rsidR="00F700DA" w:rsidRPr="00942A3F" w:rsidTr="00E96D31">
        <w:tc>
          <w:tcPr>
            <w:tcW w:w="3085" w:type="dxa"/>
          </w:tcPr>
          <w:p w:rsidR="00F700DA" w:rsidRDefault="00F700DA" w:rsidP="00EB44A2">
            <w:pPr>
              <w:spacing w:before="60" w:after="60" w:line="240" w:lineRule="atLeast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Decimals</w:t>
            </w:r>
          </w:p>
        </w:tc>
        <w:tc>
          <w:tcPr>
            <w:tcW w:w="7796" w:type="dxa"/>
          </w:tcPr>
          <w:p w:rsidR="00F700DA" w:rsidRDefault="00F700DA" w:rsidP="00EB44A2">
            <w:pPr>
              <w:spacing w:before="60" w:after="60" w:line="240" w:lineRule="atLeast"/>
            </w:pPr>
            <w:r>
              <w:t xml:space="preserve">Decimals cannot exceed 5 </w:t>
            </w:r>
            <w:r w:rsidR="0076284F">
              <w:t>digits after the comma.</w:t>
            </w:r>
          </w:p>
        </w:tc>
      </w:tr>
    </w:tbl>
    <w:p w:rsidR="00680CB0" w:rsidRPr="00BF20C4" w:rsidRDefault="006D23B3" w:rsidP="009247C4">
      <w:pPr>
        <w:pStyle w:val="Heading2"/>
      </w:pPr>
      <w:r w:rsidRPr="00BF20C4">
        <w:t>V1.15.1</w:t>
      </w:r>
      <w:r w:rsidR="00680CB0" w:rsidRPr="00BF20C4">
        <w:t xml:space="preserve"> - Stock-taking of </w:t>
      </w:r>
      <w:r w:rsidR="0078530F" w:rsidRPr="00BF20C4">
        <w:t xml:space="preserve">accounts </w:t>
      </w:r>
      <w:r w:rsidR="00831C1E">
        <w:t>issued by</w:t>
      </w:r>
      <w:r w:rsidR="00831C1E" w:rsidRPr="00BF20C4">
        <w:t xml:space="preserve"> </w:t>
      </w:r>
      <w:r w:rsidR="00614DB9" w:rsidRPr="00BF20C4">
        <w:t>ELMIs/PIs</w:t>
      </w:r>
      <w:r w:rsidR="0078530F" w:rsidRPr="00BF20C4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602"/>
        <w:gridCol w:w="1535"/>
        <w:gridCol w:w="1531"/>
        <w:gridCol w:w="1534"/>
        <w:gridCol w:w="1521"/>
        <w:gridCol w:w="1534"/>
      </w:tblGrid>
      <w:tr w:rsidR="00680CB0" w:rsidTr="00680CB0">
        <w:tc>
          <w:tcPr>
            <w:tcW w:w="710" w:type="pct"/>
          </w:tcPr>
          <w:p w:rsidR="00680CB0" w:rsidRPr="00680CB0" w:rsidRDefault="0078530F" w:rsidP="00680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Account category</w:t>
            </w:r>
          </w:p>
          <w:p w:rsidR="00680CB0" w:rsidRPr="00680CB0" w:rsidRDefault="00680CB0" w:rsidP="00680CB0">
            <w:pPr>
              <w:rPr>
                <w:sz w:val="16"/>
                <w:szCs w:val="16"/>
              </w:rPr>
            </w:pPr>
          </w:p>
        </w:tc>
        <w:tc>
          <w:tcPr>
            <w:tcW w:w="742" w:type="pct"/>
          </w:tcPr>
          <w:p w:rsidR="00680CB0" w:rsidRPr="00680CB0" w:rsidRDefault="0078530F" w:rsidP="00680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Activity level</w:t>
            </w:r>
          </w:p>
          <w:p w:rsidR="00680CB0" w:rsidRPr="00680CB0" w:rsidRDefault="00680CB0" w:rsidP="00680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80CB0" w:rsidRPr="00680CB0" w:rsidRDefault="00680CB0" w:rsidP="00680CB0">
            <w:pPr>
              <w:rPr>
                <w:sz w:val="16"/>
                <w:szCs w:val="16"/>
              </w:rPr>
            </w:pPr>
          </w:p>
        </w:tc>
        <w:tc>
          <w:tcPr>
            <w:tcW w:w="711" w:type="pct"/>
          </w:tcPr>
          <w:p w:rsidR="00680CB0" w:rsidRPr="00680CB0" w:rsidRDefault="0078530F" w:rsidP="00680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Account type</w:t>
            </w:r>
          </w:p>
          <w:p w:rsidR="00680CB0" w:rsidRPr="00680CB0" w:rsidRDefault="00680CB0" w:rsidP="00680CB0">
            <w:pPr>
              <w:rPr>
                <w:sz w:val="16"/>
                <w:szCs w:val="16"/>
              </w:rPr>
            </w:pPr>
          </w:p>
        </w:tc>
        <w:tc>
          <w:tcPr>
            <w:tcW w:w="709" w:type="pct"/>
          </w:tcPr>
          <w:p w:rsidR="00680CB0" w:rsidRPr="0078530F" w:rsidRDefault="00680CB0" w:rsidP="00785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0C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Volume </w:t>
            </w:r>
          </w:p>
        </w:tc>
        <w:tc>
          <w:tcPr>
            <w:tcW w:w="711" w:type="pct"/>
          </w:tcPr>
          <w:p w:rsidR="00680CB0" w:rsidRPr="00680CB0" w:rsidRDefault="00680CB0" w:rsidP="00680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0C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Country of</w:t>
            </w:r>
          </w:p>
          <w:p w:rsidR="00680CB0" w:rsidRPr="00680CB0" w:rsidRDefault="00A0111E" w:rsidP="00680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residence</w:t>
            </w:r>
            <w:r w:rsidR="00680CB0" w:rsidRPr="00680C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</w:t>
            </w:r>
          </w:p>
          <w:p w:rsidR="00680CB0" w:rsidRPr="00680CB0" w:rsidRDefault="00680CB0" w:rsidP="00680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0C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the account</w:t>
            </w:r>
          </w:p>
          <w:p w:rsidR="00680CB0" w:rsidRPr="00680CB0" w:rsidRDefault="0078530F" w:rsidP="00680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holder</w:t>
            </w:r>
          </w:p>
          <w:p w:rsidR="00680CB0" w:rsidRPr="00680CB0" w:rsidRDefault="00680CB0" w:rsidP="00680CB0">
            <w:pPr>
              <w:rPr>
                <w:sz w:val="16"/>
                <w:szCs w:val="16"/>
              </w:rPr>
            </w:pPr>
          </w:p>
        </w:tc>
        <w:tc>
          <w:tcPr>
            <w:tcW w:w="705" w:type="pct"/>
          </w:tcPr>
          <w:p w:rsidR="00680CB0" w:rsidRPr="00680CB0" w:rsidRDefault="00680CB0" w:rsidP="00680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0C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Float </w:t>
            </w:r>
          </w:p>
        </w:tc>
        <w:tc>
          <w:tcPr>
            <w:tcW w:w="711" w:type="pct"/>
          </w:tcPr>
          <w:p w:rsidR="00680CB0" w:rsidRPr="00680CB0" w:rsidRDefault="00680CB0" w:rsidP="00680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0C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Currency</w:t>
            </w:r>
          </w:p>
          <w:p w:rsidR="00680CB0" w:rsidRPr="00680CB0" w:rsidRDefault="00680CB0" w:rsidP="00680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0C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of the</w:t>
            </w:r>
          </w:p>
          <w:p w:rsidR="00680CB0" w:rsidRPr="00680CB0" w:rsidRDefault="00680CB0" w:rsidP="00680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0C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float</w:t>
            </w:r>
          </w:p>
          <w:p w:rsidR="00680CB0" w:rsidRPr="00680CB0" w:rsidRDefault="00680CB0" w:rsidP="00680CB0">
            <w:pPr>
              <w:rPr>
                <w:sz w:val="16"/>
                <w:szCs w:val="16"/>
              </w:rPr>
            </w:pPr>
          </w:p>
        </w:tc>
      </w:tr>
      <w:tr w:rsidR="00680CB0" w:rsidTr="00680CB0">
        <w:tc>
          <w:tcPr>
            <w:tcW w:w="710" w:type="pct"/>
          </w:tcPr>
          <w:p w:rsidR="00680CB0" w:rsidRDefault="0078530F" w:rsidP="00680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Payment account</w:t>
            </w:r>
          </w:p>
          <w:p w:rsidR="0078530F" w:rsidRPr="00680CB0" w:rsidRDefault="0078530F" w:rsidP="005D71D2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Account with </w:t>
            </w:r>
            <w:r w:rsidR="005D71D2">
              <w:rPr>
                <w:rFonts w:ascii="Times New Roman" w:hAnsi="Times New Roman" w:cs="Times New Roman"/>
                <w:sz w:val="16"/>
                <w:szCs w:val="16"/>
              </w:rPr>
              <w:t>limited functions</w:t>
            </w:r>
          </w:p>
        </w:tc>
        <w:tc>
          <w:tcPr>
            <w:tcW w:w="742" w:type="pct"/>
          </w:tcPr>
          <w:p w:rsidR="00680CB0" w:rsidRDefault="0078530F" w:rsidP="00680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674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Active</w:t>
            </w:r>
          </w:p>
          <w:p w:rsidR="0078530F" w:rsidRPr="00680CB0" w:rsidRDefault="0078530F" w:rsidP="00680CB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Not active</w:t>
            </w:r>
          </w:p>
        </w:tc>
        <w:tc>
          <w:tcPr>
            <w:tcW w:w="711" w:type="pct"/>
          </w:tcPr>
          <w:p w:rsidR="00680CB0" w:rsidRDefault="0078530F" w:rsidP="00680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674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Professional</w:t>
            </w:r>
          </w:p>
          <w:p w:rsidR="0078530F" w:rsidRPr="00680CB0" w:rsidRDefault="0078530F" w:rsidP="00680CB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674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  <w:tc>
          <w:tcPr>
            <w:tcW w:w="709" w:type="pct"/>
          </w:tcPr>
          <w:p w:rsidR="00680CB0" w:rsidRPr="00680CB0" w:rsidRDefault="00767400" w:rsidP="00680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680CB0" w:rsidRPr="00680CB0">
              <w:rPr>
                <w:rFonts w:ascii="Times New Roman" w:hAnsi="Times New Roman" w:cs="Times New Roman"/>
                <w:sz w:val="16"/>
                <w:szCs w:val="16"/>
              </w:rPr>
              <w:t>umber of</w:t>
            </w:r>
          </w:p>
          <w:p w:rsidR="00680CB0" w:rsidRPr="00680CB0" w:rsidRDefault="00680CB0" w:rsidP="00680CB0">
            <w:pPr>
              <w:rPr>
                <w:sz w:val="16"/>
                <w:szCs w:val="16"/>
              </w:rPr>
            </w:pPr>
            <w:r w:rsidRPr="00680CB0">
              <w:rPr>
                <w:rFonts w:ascii="Times New Roman" w:hAnsi="Times New Roman" w:cs="Times New Roman"/>
                <w:sz w:val="16"/>
                <w:szCs w:val="16"/>
              </w:rPr>
              <w:t>accounts</w:t>
            </w:r>
          </w:p>
        </w:tc>
        <w:tc>
          <w:tcPr>
            <w:tcW w:w="711" w:type="pct"/>
          </w:tcPr>
          <w:p w:rsidR="00680CB0" w:rsidRPr="00680CB0" w:rsidRDefault="0078530F" w:rsidP="00680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80C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0CB0" w:rsidRPr="00680CB0">
              <w:rPr>
                <w:rFonts w:ascii="Times New Roman" w:hAnsi="Times New Roman" w:cs="Times New Roman"/>
                <w:sz w:val="16"/>
                <w:szCs w:val="16"/>
              </w:rPr>
              <w:t>ISO country</w:t>
            </w:r>
          </w:p>
          <w:p w:rsidR="00680CB0" w:rsidRPr="00680CB0" w:rsidRDefault="00680CB0" w:rsidP="00680C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80CB0">
              <w:rPr>
                <w:rFonts w:ascii="Times New Roman" w:hAnsi="Times New Roman" w:cs="Times New Roman"/>
                <w:sz w:val="16"/>
                <w:szCs w:val="16"/>
              </w:rPr>
              <w:t xml:space="preserve">code of </w:t>
            </w:r>
          </w:p>
          <w:p w:rsidR="00680CB0" w:rsidRPr="00680CB0" w:rsidRDefault="00680CB0" w:rsidP="00680CB0">
            <w:pPr>
              <w:rPr>
                <w:sz w:val="16"/>
                <w:szCs w:val="16"/>
              </w:rPr>
            </w:pPr>
            <w:r w:rsidRPr="00680CB0">
              <w:rPr>
                <w:rFonts w:ascii="Times New Roman" w:hAnsi="Times New Roman" w:cs="Times New Roman"/>
                <w:sz w:val="16"/>
                <w:szCs w:val="16"/>
              </w:rPr>
              <w:t>account holder</w:t>
            </w:r>
          </w:p>
        </w:tc>
        <w:tc>
          <w:tcPr>
            <w:tcW w:w="705" w:type="pct"/>
          </w:tcPr>
          <w:p w:rsidR="00680CB0" w:rsidRPr="00680CB0" w:rsidRDefault="00680CB0" w:rsidP="00680CB0">
            <w:pPr>
              <w:rPr>
                <w:sz w:val="16"/>
                <w:szCs w:val="16"/>
              </w:rPr>
            </w:pPr>
          </w:p>
        </w:tc>
        <w:tc>
          <w:tcPr>
            <w:tcW w:w="711" w:type="pct"/>
          </w:tcPr>
          <w:p w:rsidR="00680CB0" w:rsidRPr="00680CB0" w:rsidRDefault="00680CB0" w:rsidP="00680CB0">
            <w:pPr>
              <w:rPr>
                <w:sz w:val="16"/>
                <w:szCs w:val="16"/>
              </w:rPr>
            </w:pPr>
          </w:p>
        </w:tc>
      </w:tr>
    </w:tbl>
    <w:p w:rsidR="005D71D2" w:rsidRDefault="00D04D50" w:rsidP="009247C4">
      <w:pPr>
        <w:pStyle w:val="Heading2"/>
      </w:pPr>
      <w:r w:rsidRPr="005D71D2">
        <w:t>V1.15.2: -</w:t>
      </w:r>
    </w:p>
    <w:p w:rsidR="001C6466" w:rsidRPr="001C6466" w:rsidRDefault="001C6466" w:rsidP="001C6466"/>
    <w:p w:rsidR="00680CB0" w:rsidRDefault="009E2D20" w:rsidP="00C56B15">
      <w:pPr>
        <w:pStyle w:val="Heading2"/>
      </w:pPr>
      <w:r>
        <w:t>V</w:t>
      </w:r>
      <w:r w:rsidR="000859C1">
        <w:t>1.15.3</w:t>
      </w:r>
      <w:r w:rsidR="00680CB0">
        <w:t xml:space="preserve"> </w:t>
      </w:r>
      <w:r w:rsidR="00BB1433">
        <w:t>-</w:t>
      </w:r>
      <w:r w:rsidR="00680CB0">
        <w:t xml:space="preserve"> </w:t>
      </w:r>
      <w:r w:rsidR="00614DB9">
        <w:t>T</w:t>
      </w:r>
      <w:r w:rsidR="0078530F">
        <w:t>ransfers on</w:t>
      </w:r>
      <w:r w:rsidR="00614DB9">
        <w:t xml:space="preserve"> accounts </w:t>
      </w:r>
      <w:r w:rsidR="00831C1E">
        <w:t>issued by</w:t>
      </w:r>
      <w:r w:rsidR="00831C1E" w:rsidRPr="00BF20C4">
        <w:t xml:space="preserve"> </w:t>
      </w:r>
      <w:r w:rsidR="00614DB9">
        <w:t>ELMIs &amp; PIs</w:t>
      </w:r>
      <w:r w:rsidR="006D23B3">
        <w:t xml:space="preserve">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80"/>
        <w:gridCol w:w="1528"/>
        <w:gridCol w:w="1390"/>
        <w:gridCol w:w="1155"/>
        <w:gridCol w:w="790"/>
        <w:gridCol w:w="833"/>
        <w:gridCol w:w="1107"/>
        <w:gridCol w:w="1109"/>
        <w:gridCol w:w="412"/>
        <w:gridCol w:w="419"/>
        <w:gridCol w:w="967"/>
      </w:tblGrid>
      <w:tr w:rsidR="00030821" w:rsidRPr="00680CB0" w:rsidTr="00030821">
        <w:trPr>
          <w:cantSplit/>
          <w:trHeight w:val="905"/>
        </w:trPr>
        <w:tc>
          <w:tcPr>
            <w:tcW w:w="501" w:type="pct"/>
          </w:tcPr>
          <w:p w:rsidR="00A569D0" w:rsidRPr="00680CB0" w:rsidRDefault="00A569D0" w:rsidP="00EA1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Account category</w:t>
            </w:r>
          </w:p>
          <w:p w:rsidR="00A569D0" w:rsidRPr="00680CB0" w:rsidRDefault="00A569D0" w:rsidP="00EA179F">
            <w:pPr>
              <w:rPr>
                <w:sz w:val="16"/>
                <w:szCs w:val="16"/>
              </w:rPr>
            </w:pPr>
          </w:p>
        </w:tc>
        <w:tc>
          <w:tcPr>
            <w:tcW w:w="708" w:type="pct"/>
          </w:tcPr>
          <w:p w:rsidR="00A569D0" w:rsidRPr="00411141" w:rsidRDefault="00A569D0" w:rsidP="00DC6FC1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Operation type</w:t>
            </w:r>
          </w:p>
        </w:tc>
        <w:tc>
          <w:tcPr>
            <w:tcW w:w="644" w:type="pct"/>
          </w:tcPr>
          <w:p w:rsidR="00A569D0" w:rsidRDefault="00A569D0" w:rsidP="006D23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Transfer type</w:t>
            </w:r>
          </w:p>
        </w:tc>
        <w:tc>
          <w:tcPr>
            <w:tcW w:w="535" w:type="pct"/>
          </w:tcPr>
          <w:p w:rsidR="00A569D0" w:rsidRPr="00411141" w:rsidRDefault="00A569D0" w:rsidP="006D23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Underlying payment instrument to the transfer</w:t>
            </w:r>
          </w:p>
        </w:tc>
        <w:tc>
          <w:tcPr>
            <w:tcW w:w="366" w:type="pct"/>
          </w:tcPr>
          <w:p w:rsidR="00A569D0" w:rsidRDefault="00A569D0" w:rsidP="00EA17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Country of PSP of the creditor</w:t>
            </w:r>
          </w:p>
        </w:tc>
        <w:tc>
          <w:tcPr>
            <w:tcW w:w="386" w:type="pct"/>
          </w:tcPr>
          <w:p w:rsidR="00A569D0" w:rsidRDefault="00A569D0" w:rsidP="00EA17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Country of PSP of the debtor</w:t>
            </w:r>
          </w:p>
        </w:tc>
        <w:tc>
          <w:tcPr>
            <w:tcW w:w="513" w:type="pct"/>
          </w:tcPr>
          <w:p w:rsidR="00A569D0" w:rsidRDefault="00A569D0" w:rsidP="00EA17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Country of </w:t>
            </w:r>
            <w:r w:rsidR="00A011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residence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 the creditor</w:t>
            </w:r>
          </w:p>
        </w:tc>
        <w:tc>
          <w:tcPr>
            <w:tcW w:w="514" w:type="pct"/>
          </w:tcPr>
          <w:p w:rsidR="00A569D0" w:rsidRDefault="00A569D0" w:rsidP="00EA17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Country of </w:t>
            </w:r>
            <w:r w:rsidR="00A011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residence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 the debtor</w:t>
            </w:r>
          </w:p>
        </w:tc>
        <w:tc>
          <w:tcPr>
            <w:tcW w:w="191" w:type="pct"/>
            <w:textDirection w:val="btLr"/>
          </w:tcPr>
          <w:p w:rsidR="00A569D0" w:rsidRPr="00411141" w:rsidRDefault="00A569D0" w:rsidP="00030821">
            <w:pPr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11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94" w:type="pct"/>
            <w:textDirection w:val="btLr"/>
          </w:tcPr>
          <w:p w:rsidR="00A569D0" w:rsidRPr="00411141" w:rsidRDefault="00A569D0" w:rsidP="0003082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11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Value</w:t>
            </w:r>
          </w:p>
        </w:tc>
        <w:tc>
          <w:tcPr>
            <w:tcW w:w="448" w:type="pct"/>
            <w:textDirection w:val="btLr"/>
          </w:tcPr>
          <w:p w:rsidR="00A569D0" w:rsidRPr="00411141" w:rsidRDefault="00A569D0" w:rsidP="0003082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11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Currency</w:t>
            </w:r>
          </w:p>
          <w:p w:rsidR="00A569D0" w:rsidRPr="00411141" w:rsidRDefault="00A569D0" w:rsidP="00030821">
            <w:pPr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30821" w:rsidRPr="00680CB0" w:rsidTr="00030821">
        <w:trPr>
          <w:trHeight w:val="2302"/>
        </w:trPr>
        <w:tc>
          <w:tcPr>
            <w:tcW w:w="501" w:type="pct"/>
          </w:tcPr>
          <w:p w:rsidR="00A569D0" w:rsidRDefault="00A569D0" w:rsidP="006D23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Payment account</w:t>
            </w:r>
          </w:p>
          <w:p w:rsidR="00A569D0" w:rsidRPr="00411141" w:rsidRDefault="00A569D0" w:rsidP="006D23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Account with </w:t>
            </w:r>
            <w:r w:rsidR="000445DF">
              <w:rPr>
                <w:rFonts w:ascii="Times New Roman" w:hAnsi="Times New Roman" w:cs="Times New Roman"/>
                <w:sz w:val="16"/>
                <w:szCs w:val="16"/>
              </w:rPr>
              <w:t>limited functions</w:t>
            </w:r>
          </w:p>
          <w:p w:rsidR="00A569D0" w:rsidRPr="00411141" w:rsidRDefault="00A569D0" w:rsidP="00411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pct"/>
          </w:tcPr>
          <w:p w:rsidR="00A569D0" w:rsidRDefault="00A569D0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D2D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3369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unding</w:t>
            </w:r>
          </w:p>
          <w:p w:rsidR="00A569D0" w:rsidRDefault="00A569D0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8A3369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ithdrawal</w:t>
            </w:r>
          </w:p>
          <w:p w:rsidR="00A569D0" w:rsidRDefault="00A569D0" w:rsidP="007853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D2D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336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erchant funding</w:t>
            </w:r>
          </w:p>
          <w:p w:rsidR="00A569D0" w:rsidRDefault="00A569D0" w:rsidP="007853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8A336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erchant withdrawal</w:t>
            </w:r>
          </w:p>
          <w:p w:rsidR="00A569D0" w:rsidRDefault="00A569D0" w:rsidP="00DC6F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On-us </w:t>
            </w:r>
          </w:p>
          <w:p w:rsidR="00EE19BB" w:rsidRDefault="00EE19BB" w:rsidP="00455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D2D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5029">
              <w:rPr>
                <w:rFonts w:ascii="Times New Roman" w:hAnsi="Times New Roman" w:cs="Times New Roman"/>
                <w:sz w:val="16"/>
                <w:szCs w:val="16"/>
              </w:rPr>
              <w:t>Credit</w:t>
            </w:r>
          </w:p>
          <w:p w:rsidR="004918AF" w:rsidRPr="00A71B3F" w:rsidRDefault="004918AF" w:rsidP="00455029">
            <w:pPr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644" w:type="pct"/>
          </w:tcPr>
          <w:p w:rsidR="00AB7454" w:rsidRPr="00AB7454" w:rsidRDefault="00AB7454" w:rsidP="00A569D0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AB7454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For on-us </w:t>
            </w:r>
            <w:r w:rsidR="003D2D64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operations</w:t>
            </w:r>
            <w:r w:rsidRPr="00AB7454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:</w:t>
            </w:r>
          </w:p>
          <w:p w:rsidR="00A569D0" w:rsidRDefault="00A569D0" w:rsidP="00A56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DC6F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Purchase</w:t>
            </w:r>
          </w:p>
          <w:p w:rsidR="00AB7454" w:rsidRPr="00674F47" w:rsidRDefault="00AB7454" w:rsidP="00A56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Purchase marketplace</w:t>
            </w:r>
          </w:p>
          <w:p w:rsidR="00DC6FC1" w:rsidRDefault="00A569D0" w:rsidP="00A56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DC6F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P2P</w:t>
            </w:r>
          </w:p>
          <w:p w:rsidR="00A569D0" w:rsidRDefault="00A569D0" w:rsidP="00A56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DC6F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  <w:p w:rsidR="00AB7454" w:rsidRDefault="00AB7454" w:rsidP="00A5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454" w:rsidRPr="00AB7454" w:rsidRDefault="00AB7454" w:rsidP="00A569D0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AB7454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For other operation types:</w:t>
            </w:r>
          </w:p>
          <w:p w:rsidR="005D71D2" w:rsidRDefault="005D71D2" w:rsidP="00A56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N/A</w:t>
            </w:r>
          </w:p>
          <w:p w:rsidR="005F129A" w:rsidRDefault="005F129A" w:rsidP="00AB7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</w:tcPr>
          <w:p w:rsidR="00A569D0" w:rsidRDefault="00A569D0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SCT</w:t>
            </w:r>
          </w:p>
          <w:p w:rsidR="00A569D0" w:rsidRDefault="00A569D0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SDD</w:t>
            </w:r>
          </w:p>
          <w:p w:rsidR="00A569D0" w:rsidRDefault="00A569D0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Payment card </w:t>
            </w:r>
          </w:p>
          <w:p w:rsidR="00A569D0" w:rsidRDefault="00A569D0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CT</w:t>
            </w:r>
          </w:p>
          <w:p w:rsidR="00A569D0" w:rsidRDefault="00A569D0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DD</w:t>
            </w:r>
          </w:p>
          <w:p w:rsidR="00E9050D" w:rsidRDefault="00E9050D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e-money</w:t>
            </w:r>
          </w:p>
          <w:p w:rsidR="00A569D0" w:rsidRDefault="00A569D0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Other</w:t>
            </w:r>
          </w:p>
          <w:p w:rsidR="004918AF" w:rsidRPr="00A71B3F" w:rsidRDefault="00DE1296" w:rsidP="00EA179F">
            <w:pPr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366" w:type="pct"/>
          </w:tcPr>
          <w:p w:rsidR="00A569D0" w:rsidRDefault="00A569D0" w:rsidP="00EA17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ISO country code</w:t>
            </w:r>
          </w:p>
        </w:tc>
        <w:tc>
          <w:tcPr>
            <w:tcW w:w="386" w:type="pct"/>
          </w:tcPr>
          <w:p w:rsidR="00A569D0" w:rsidRDefault="00A569D0" w:rsidP="00EA17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ISO country code</w:t>
            </w:r>
          </w:p>
        </w:tc>
        <w:tc>
          <w:tcPr>
            <w:tcW w:w="513" w:type="pct"/>
          </w:tcPr>
          <w:p w:rsidR="00A569D0" w:rsidRDefault="00A569D0" w:rsidP="00EA17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ISO country code</w:t>
            </w:r>
          </w:p>
        </w:tc>
        <w:tc>
          <w:tcPr>
            <w:tcW w:w="514" w:type="pct"/>
          </w:tcPr>
          <w:p w:rsidR="00A569D0" w:rsidRDefault="00A569D0" w:rsidP="00EA17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ISO country code</w:t>
            </w:r>
          </w:p>
        </w:tc>
        <w:tc>
          <w:tcPr>
            <w:tcW w:w="191" w:type="pct"/>
          </w:tcPr>
          <w:p w:rsidR="00A569D0" w:rsidRPr="00411141" w:rsidRDefault="00A569D0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:rsidR="00A569D0" w:rsidRPr="00411141" w:rsidRDefault="00A569D0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</w:tcPr>
          <w:p w:rsidR="00A569D0" w:rsidRPr="00411141" w:rsidRDefault="00A569D0" w:rsidP="004111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11141">
              <w:rPr>
                <w:rFonts w:ascii="Times New Roman" w:hAnsi="Times New Roman" w:cs="Times New Roman"/>
                <w:sz w:val="16"/>
                <w:szCs w:val="16"/>
              </w:rPr>
              <w:t>Currency</w:t>
            </w:r>
          </w:p>
          <w:p w:rsidR="00A569D0" w:rsidRPr="00411141" w:rsidRDefault="00A569D0" w:rsidP="00411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1141">
              <w:rPr>
                <w:rFonts w:ascii="Times New Roman" w:hAnsi="Times New Roman" w:cs="Times New Roman"/>
                <w:sz w:val="16"/>
                <w:szCs w:val="16"/>
              </w:rPr>
              <w:t>ISO code</w:t>
            </w:r>
          </w:p>
        </w:tc>
      </w:tr>
    </w:tbl>
    <w:p w:rsidR="005D71D2" w:rsidRDefault="005D71D2" w:rsidP="00674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D04D50" w:rsidRDefault="00D04D50" w:rsidP="009247C4">
      <w:pPr>
        <w:pStyle w:val="Heading2"/>
      </w:pPr>
      <w:r w:rsidRPr="005D71D2">
        <w:t>V1.15.4: -</w:t>
      </w:r>
    </w:p>
    <w:p w:rsidR="00D04D50" w:rsidRDefault="00D04D50" w:rsidP="009247C4">
      <w:pPr>
        <w:pStyle w:val="Heading2"/>
      </w:pPr>
      <w:r w:rsidRPr="005D71D2">
        <w:t>V1.15.5: -</w:t>
      </w:r>
    </w:p>
    <w:p w:rsidR="00DC6FC1" w:rsidRPr="00DC6FC1" w:rsidRDefault="000859C1" w:rsidP="009247C4">
      <w:pPr>
        <w:pStyle w:val="Heading2"/>
      </w:pPr>
      <w:r>
        <w:t xml:space="preserve">V1.15.6 </w:t>
      </w:r>
      <w:r w:rsidR="00BB1433">
        <w:t>-</w:t>
      </w:r>
      <w:r>
        <w:t xml:space="preserve"> Activities of </w:t>
      </w:r>
      <w:r w:rsidR="00A569D0">
        <w:t>ELMIs and PIs</w:t>
      </w:r>
      <w:r>
        <w:t xml:space="preserve"> offering payment </w:t>
      </w:r>
      <w:r w:rsidR="00A569D0">
        <w:t xml:space="preserve">initiation </w:t>
      </w:r>
      <w:r w:rsidR="00AF7615">
        <w:t>services</w:t>
      </w:r>
      <w:r w:rsidR="005D71D2">
        <w:t xml:space="preserve"> or payment services</w:t>
      </w:r>
      <w:r w:rsidR="00D04D50">
        <w:t xml:space="preserve"> without the provision of </w:t>
      </w:r>
      <w:r w:rsidR="006535DD">
        <w:t>an</w:t>
      </w:r>
      <w:r w:rsidR="00D04D50">
        <w:t xml:space="preserve"> account</w:t>
      </w:r>
      <w:r w:rsidR="00DC6FC1">
        <w:br/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1603"/>
        <w:gridCol w:w="1382"/>
        <w:gridCol w:w="1561"/>
        <w:gridCol w:w="1529"/>
        <w:gridCol w:w="1527"/>
        <w:gridCol w:w="1391"/>
        <w:gridCol w:w="417"/>
        <w:gridCol w:w="417"/>
        <w:gridCol w:w="969"/>
      </w:tblGrid>
      <w:tr w:rsidR="00030821" w:rsidRPr="00411141" w:rsidTr="00030821">
        <w:trPr>
          <w:cantSplit/>
          <w:trHeight w:val="911"/>
        </w:trPr>
        <w:tc>
          <w:tcPr>
            <w:tcW w:w="743" w:type="pct"/>
          </w:tcPr>
          <w:p w:rsidR="000859C1" w:rsidRPr="00680CB0" w:rsidRDefault="000859C1" w:rsidP="00EA179F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Transfer type</w:t>
            </w:r>
            <w:r w:rsidRPr="00680CB0">
              <w:rPr>
                <w:sz w:val="16"/>
                <w:szCs w:val="16"/>
              </w:rPr>
              <w:t xml:space="preserve"> </w:t>
            </w:r>
          </w:p>
        </w:tc>
        <w:tc>
          <w:tcPr>
            <w:tcW w:w="640" w:type="pct"/>
          </w:tcPr>
          <w:p w:rsidR="000859C1" w:rsidRPr="004112F2" w:rsidRDefault="000859C1" w:rsidP="00EA17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Underlying payment instrument</w:t>
            </w:r>
          </w:p>
        </w:tc>
        <w:tc>
          <w:tcPr>
            <w:tcW w:w="723" w:type="pct"/>
          </w:tcPr>
          <w:p w:rsidR="000859C1" w:rsidRDefault="000859C1" w:rsidP="00EA17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Country of PSP of the creditor</w:t>
            </w:r>
          </w:p>
        </w:tc>
        <w:tc>
          <w:tcPr>
            <w:tcW w:w="708" w:type="pct"/>
          </w:tcPr>
          <w:p w:rsidR="000859C1" w:rsidRDefault="000859C1" w:rsidP="00EA17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Country of PSP of the debtor</w:t>
            </w:r>
          </w:p>
        </w:tc>
        <w:tc>
          <w:tcPr>
            <w:tcW w:w="707" w:type="pct"/>
          </w:tcPr>
          <w:p w:rsidR="000859C1" w:rsidRDefault="000859C1" w:rsidP="00EA17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Country of </w:t>
            </w:r>
            <w:r w:rsidR="00A011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residence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 the creditor</w:t>
            </w:r>
          </w:p>
        </w:tc>
        <w:tc>
          <w:tcPr>
            <w:tcW w:w="644" w:type="pct"/>
          </w:tcPr>
          <w:p w:rsidR="000859C1" w:rsidRDefault="000859C1" w:rsidP="00EA17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Country of </w:t>
            </w:r>
            <w:r w:rsidR="00A011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residence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 the debtor</w:t>
            </w:r>
          </w:p>
        </w:tc>
        <w:tc>
          <w:tcPr>
            <w:tcW w:w="193" w:type="pct"/>
            <w:textDirection w:val="btLr"/>
          </w:tcPr>
          <w:p w:rsidR="000859C1" w:rsidRDefault="000859C1" w:rsidP="00030821">
            <w:pPr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Volume</w:t>
            </w:r>
          </w:p>
        </w:tc>
        <w:tc>
          <w:tcPr>
            <w:tcW w:w="193" w:type="pct"/>
            <w:textDirection w:val="btLr"/>
          </w:tcPr>
          <w:p w:rsidR="000859C1" w:rsidRDefault="000859C1" w:rsidP="00030821">
            <w:pPr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Value</w:t>
            </w:r>
          </w:p>
        </w:tc>
        <w:tc>
          <w:tcPr>
            <w:tcW w:w="449" w:type="pct"/>
            <w:textDirection w:val="btLr"/>
          </w:tcPr>
          <w:p w:rsidR="000859C1" w:rsidRDefault="000859C1" w:rsidP="00030821">
            <w:pPr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Currency </w:t>
            </w:r>
          </w:p>
        </w:tc>
      </w:tr>
      <w:tr w:rsidR="00030821" w:rsidRPr="00411141" w:rsidTr="00030821">
        <w:tc>
          <w:tcPr>
            <w:tcW w:w="743" w:type="pct"/>
          </w:tcPr>
          <w:p w:rsidR="000859C1" w:rsidRPr="00674F47" w:rsidRDefault="000859C1" w:rsidP="000859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- Purchase</w:t>
            </w:r>
          </w:p>
          <w:p w:rsidR="000859C1" w:rsidRPr="00674F47" w:rsidRDefault="000859C1" w:rsidP="000859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- P2P</w:t>
            </w:r>
          </w:p>
          <w:p w:rsidR="000859C1" w:rsidRPr="00411141" w:rsidRDefault="000859C1" w:rsidP="000859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Unknown</w:t>
            </w:r>
          </w:p>
        </w:tc>
        <w:tc>
          <w:tcPr>
            <w:tcW w:w="640" w:type="pct"/>
          </w:tcPr>
          <w:p w:rsidR="000859C1" w:rsidRDefault="000859C1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SCT</w:t>
            </w:r>
          </w:p>
          <w:p w:rsidR="000859C1" w:rsidRDefault="000859C1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SDD</w:t>
            </w:r>
          </w:p>
          <w:p w:rsidR="000859C1" w:rsidRDefault="000859C1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Payment card </w:t>
            </w:r>
          </w:p>
          <w:p w:rsidR="00FB67E1" w:rsidRDefault="00FB67E1" w:rsidP="00FB6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CT</w:t>
            </w:r>
          </w:p>
          <w:p w:rsidR="002E698A" w:rsidRDefault="00FB67E1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DD</w:t>
            </w:r>
          </w:p>
          <w:p w:rsidR="000859C1" w:rsidRDefault="000859C1" w:rsidP="00EA17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Other</w:t>
            </w:r>
          </w:p>
          <w:p w:rsidR="002E6235" w:rsidRDefault="002E6235" w:rsidP="002E62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  <w:p w:rsidR="00357A14" w:rsidRDefault="00357A14" w:rsidP="00945D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</w:tcPr>
          <w:p w:rsidR="000859C1" w:rsidRDefault="000859C1" w:rsidP="00EA17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ISO country code</w:t>
            </w:r>
          </w:p>
        </w:tc>
        <w:tc>
          <w:tcPr>
            <w:tcW w:w="708" w:type="pct"/>
          </w:tcPr>
          <w:p w:rsidR="000859C1" w:rsidRDefault="000859C1" w:rsidP="00EA17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ISO country code</w:t>
            </w:r>
          </w:p>
        </w:tc>
        <w:tc>
          <w:tcPr>
            <w:tcW w:w="707" w:type="pct"/>
          </w:tcPr>
          <w:p w:rsidR="000859C1" w:rsidRDefault="000859C1" w:rsidP="00EA17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ISO country code</w:t>
            </w:r>
          </w:p>
        </w:tc>
        <w:tc>
          <w:tcPr>
            <w:tcW w:w="644" w:type="pct"/>
          </w:tcPr>
          <w:p w:rsidR="000859C1" w:rsidRDefault="000859C1" w:rsidP="00EA17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F47">
              <w:rPr>
                <w:rFonts w:ascii="Times New Roman" w:hAnsi="Times New Roman" w:cs="Times New Roman"/>
                <w:sz w:val="16"/>
                <w:szCs w:val="16"/>
              </w:rPr>
              <w:t>ISO country code</w:t>
            </w:r>
          </w:p>
        </w:tc>
        <w:tc>
          <w:tcPr>
            <w:tcW w:w="193" w:type="pct"/>
          </w:tcPr>
          <w:p w:rsidR="000859C1" w:rsidRDefault="000859C1" w:rsidP="00EA17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" w:type="pct"/>
          </w:tcPr>
          <w:p w:rsidR="000859C1" w:rsidRDefault="000859C1" w:rsidP="00EA17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" w:type="pct"/>
          </w:tcPr>
          <w:p w:rsidR="000859C1" w:rsidRDefault="000859C1" w:rsidP="00EA17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9C1">
              <w:rPr>
                <w:rFonts w:ascii="Times New Roman" w:hAnsi="Times New Roman" w:cs="Times New Roman"/>
                <w:sz w:val="16"/>
                <w:szCs w:val="16"/>
              </w:rPr>
              <w:t>Currency ISO code</w:t>
            </w:r>
          </w:p>
        </w:tc>
      </w:tr>
    </w:tbl>
    <w:p w:rsidR="0073404C" w:rsidRDefault="00E245A9" w:rsidP="0073404C">
      <w:pPr>
        <w:pStyle w:val="Heading2"/>
      </w:pPr>
      <w:r>
        <w:t xml:space="preserve">Concepts </w:t>
      </w:r>
      <w:r w:rsidR="00EB44A2">
        <w:t>and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8"/>
        <w:gridCol w:w="3356"/>
        <w:gridCol w:w="4506"/>
      </w:tblGrid>
      <w:tr w:rsidR="00925439" w:rsidRPr="004F759E" w:rsidTr="001902C2">
        <w:tc>
          <w:tcPr>
            <w:tcW w:w="2958" w:type="dxa"/>
          </w:tcPr>
          <w:p w:rsidR="00925439" w:rsidRPr="004F759E" w:rsidRDefault="00925439" w:rsidP="0073404C">
            <w:pPr>
              <w:rPr>
                <w:b/>
              </w:rPr>
            </w:pPr>
            <w:r w:rsidRPr="004F759E">
              <w:rPr>
                <w:b/>
              </w:rPr>
              <w:t>Dimension</w:t>
            </w:r>
          </w:p>
        </w:tc>
        <w:tc>
          <w:tcPr>
            <w:tcW w:w="3387" w:type="dxa"/>
          </w:tcPr>
          <w:p w:rsidR="00925439" w:rsidRPr="004F759E" w:rsidRDefault="004F759E" w:rsidP="004F759E">
            <w:pPr>
              <w:rPr>
                <w:b/>
              </w:rPr>
            </w:pPr>
            <w:r>
              <w:rPr>
                <w:b/>
              </w:rPr>
              <w:t>Possible values [</w:t>
            </w:r>
            <w:r w:rsidR="00925439" w:rsidRPr="00252001">
              <w:rPr>
                <w:b/>
              </w:rPr>
              <w:t>code</w:t>
            </w:r>
            <w:r>
              <w:rPr>
                <w:b/>
              </w:rPr>
              <w:t>]</w:t>
            </w:r>
          </w:p>
        </w:tc>
        <w:tc>
          <w:tcPr>
            <w:tcW w:w="4536" w:type="dxa"/>
          </w:tcPr>
          <w:p w:rsidR="00925439" w:rsidRPr="004F759E" w:rsidRDefault="00925439" w:rsidP="0073404C">
            <w:pPr>
              <w:rPr>
                <w:b/>
              </w:rPr>
            </w:pPr>
            <w:r w:rsidRPr="004F759E">
              <w:rPr>
                <w:b/>
              </w:rPr>
              <w:t>Definition</w:t>
            </w:r>
            <w:r w:rsidR="004F759E">
              <w:rPr>
                <w:b/>
              </w:rPr>
              <w:t>/ explanation</w:t>
            </w:r>
          </w:p>
        </w:tc>
      </w:tr>
      <w:tr w:rsidR="00925439" w:rsidTr="001902C2">
        <w:tc>
          <w:tcPr>
            <w:tcW w:w="2958" w:type="dxa"/>
          </w:tcPr>
          <w:p w:rsidR="00925439" w:rsidRDefault="004F759E" w:rsidP="0073404C">
            <w:r w:rsidRPr="004F759E">
              <w:t>Account category</w:t>
            </w:r>
          </w:p>
        </w:tc>
        <w:tc>
          <w:tcPr>
            <w:tcW w:w="3387" w:type="dxa"/>
          </w:tcPr>
          <w:p w:rsidR="00925439" w:rsidRDefault="001902C2" w:rsidP="0073404C">
            <w:r>
              <w:t>-</w:t>
            </w:r>
            <w:r w:rsidRPr="004F759E">
              <w:t>PAYMENT ACCOUNT</w:t>
            </w:r>
            <w:r w:rsidR="00252001">
              <w:t xml:space="preserve"> [</w:t>
            </w:r>
            <w:r w:rsidR="00252001" w:rsidRPr="00252001">
              <w:rPr>
                <w:b/>
              </w:rPr>
              <w:t>COPA</w:t>
            </w:r>
            <w:r w:rsidR="00252001">
              <w:t>]</w:t>
            </w:r>
          </w:p>
          <w:p w:rsidR="004F759E" w:rsidRDefault="001902C2" w:rsidP="0073404C">
            <w:r>
              <w:t>-</w:t>
            </w:r>
            <w:r w:rsidRPr="004F759E">
              <w:t>ACCOUNT WITH LIMITED FUNCTIONS</w:t>
            </w:r>
            <w:r w:rsidR="00252001">
              <w:t xml:space="preserve"> [</w:t>
            </w:r>
            <w:r w:rsidR="00252001" w:rsidRPr="00252001">
              <w:rPr>
                <w:b/>
              </w:rPr>
              <w:t>COLI</w:t>
            </w:r>
            <w:r w:rsidR="00252001">
              <w:t>]</w:t>
            </w:r>
          </w:p>
          <w:p w:rsidR="004F759E" w:rsidRDefault="004F759E" w:rsidP="0073404C"/>
        </w:tc>
        <w:tc>
          <w:tcPr>
            <w:tcW w:w="4536" w:type="dxa"/>
          </w:tcPr>
          <w:p w:rsidR="009B3709" w:rsidRDefault="009B3709" w:rsidP="0073404C">
            <w:r>
              <w:t xml:space="preserve">The reporting agent </w:t>
            </w:r>
            <w:r w:rsidR="00E245A9">
              <w:t>makes the distinction between</w:t>
            </w:r>
            <w:r>
              <w:t xml:space="preserve"> t</w:t>
            </w:r>
            <w:r w:rsidR="00E245A9">
              <w:t>he different account categories:</w:t>
            </w:r>
          </w:p>
          <w:p w:rsidR="001D6715" w:rsidRDefault="001D6715" w:rsidP="0073404C">
            <w:r>
              <w:t xml:space="preserve">A payment account is an </w:t>
            </w:r>
            <w:r w:rsidRPr="001D6715">
              <w:t xml:space="preserve">account issued by the reporting agent for its customers. </w:t>
            </w:r>
            <w:r w:rsidR="00040C7E">
              <w:t>Account holders can use the payment account to initiate and to receive payments.</w:t>
            </w:r>
          </w:p>
          <w:p w:rsidR="001D6715" w:rsidRDefault="001D6715" w:rsidP="0073404C">
            <w:r w:rsidRPr="001D6715">
              <w:t>Account with limited functions</w:t>
            </w:r>
            <w:r w:rsidR="00040C7E">
              <w:t xml:space="preserve"> is an </w:t>
            </w:r>
            <w:r w:rsidR="00040C7E" w:rsidRPr="001D6715">
              <w:t>account issued by the reporting agent for its customers.</w:t>
            </w:r>
            <w:r w:rsidR="00040C7E">
              <w:t xml:space="preserve"> The </w:t>
            </w:r>
            <w:r w:rsidRPr="001D6715">
              <w:t>account</w:t>
            </w:r>
            <w:r w:rsidR="00040C7E">
              <w:t xml:space="preserve"> carries</w:t>
            </w:r>
            <w:r w:rsidRPr="001D6715">
              <w:t xml:space="preserve"> contractual constraints (the account holder cannot freely place or withdraw funds, or payments </w:t>
            </w:r>
            <w:r w:rsidR="00040C7E">
              <w:t>from/</w:t>
            </w:r>
            <w:r w:rsidRPr="001D6715">
              <w:t>to third parties are restricted).</w:t>
            </w:r>
          </w:p>
          <w:p w:rsidR="00925439" w:rsidRDefault="001D6715" w:rsidP="00040C7E">
            <w:r w:rsidRPr="001D6715">
              <w:t xml:space="preserve">Are excluded the e-money accounts (reported in table V1.8.1) and the payment accounts </w:t>
            </w:r>
            <w:r w:rsidR="00040C7E">
              <w:t>issued by</w:t>
            </w:r>
            <w:r w:rsidRPr="001D6715">
              <w:t xml:space="preserve"> credit institutions (reported in table V.1.10).</w:t>
            </w:r>
          </w:p>
        </w:tc>
      </w:tr>
      <w:tr w:rsidR="00925439" w:rsidTr="001902C2">
        <w:tc>
          <w:tcPr>
            <w:tcW w:w="2958" w:type="dxa"/>
          </w:tcPr>
          <w:p w:rsidR="001902C2" w:rsidRDefault="001902C2" w:rsidP="001902C2">
            <w:r>
              <w:t>Account type</w:t>
            </w:r>
          </w:p>
          <w:p w:rsidR="00925439" w:rsidRDefault="00925439" w:rsidP="0073404C"/>
        </w:tc>
        <w:tc>
          <w:tcPr>
            <w:tcW w:w="3387" w:type="dxa"/>
          </w:tcPr>
          <w:p w:rsidR="001902C2" w:rsidRDefault="001902C2" w:rsidP="001902C2">
            <w:r>
              <w:t>-PROFESSIONAL</w:t>
            </w:r>
            <w:r w:rsidR="00C668A5">
              <w:t xml:space="preserve"> [</w:t>
            </w:r>
            <w:r w:rsidR="00C668A5" w:rsidRPr="00C668A5">
              <w:rPr>
                <w:b/>
              </w:rPr>
              <w:t>PRO</w:t>
            </w:r>
            <w:r w:rsidR="00C668A5">
              <w:t>]</w:t>
            </w:r>
          </w:p>
          <w:p w:rsidR="00925439" w:rsidRDefault="001902C2" w:rsidP="001902C2">
            <w:r>
              <w:t>-PRIVATE</w:t>
            </w:r>
            <w:r w:rsidR="00C668A5">
              <w:t xml:space="preserve"> [</w:t>
            </w:r>
            <w:r w:rsidR="00C668A5" w:rsidRPr="00C668A5">
              <w:rPr>
                <w:b/>
              </w:rPr>
              <w:t>PRI</w:t>
            </w:r>
            <w:r w:rsidR="00C668A5">
              <w:t>]</w:t>
            </w:r>
          </w:p>
        </w:tc>
        <w:tc>
          <w:tcPr>
            <w:tcW w:w="4536" w:type="dxa"/>
          </w:tcPr>
          <w:p w:rsidR="00925439" w:rsidRDefault="001902C2" w:rsidP="0073404C">
            <w:r>
              <w:t>It indicates if the account is owned by a professional or a private customer. An account that is held by a merchant is a professional account. All other accounts are considered as private accounts.</w:t>
            </w:r>
          </w:p>
        </w:tc>
      </w:tr>
      <w:tr w:rsidR="00925439" w:rsidTr="001902C2">
        <w:tc>
          <w:tcPr>
            <w:tcW w:w="2958" w:type="dxa"/>
          </w:tcPr>
          <w:p w:rsidR="001902C2" w:rsidRDefault="001902C2" w:rsidP="001902C2">
            <w:r>
              <w:t>Activity level</w:t>
            </w:r>
          </w:p>
          <w:p w:rsidR="00925439" w:rsidRDefault="00925439" w:rsidP="0073404C"/>
        </w:tc>
        <w:tc>
          <w:tcPr>
            <w:tcW w:w="3387" w:type="dxa"/>
          </w:tcPr>
          <w:p w:rsidR="001902C2" w:rsidRDefault="001902C2" w:rsidP="0073404C">
            <w:r>
              <w:t xml:space="preserve">-ACTIVE </w:t>
            </w:r>
            <w:r w:rsidR="00F553D9">
              <w:t>[</w:t>
            </w:r>
            <w:r w:rsidR="00F553D9" w:rsidRPr="001E7E08">
              <w:rPr>
                <w:b/>
              </w:rPr>
              <w:t>ACT</w:t>
            </w:r>
            <w:r w:rsidR="00F553D9">
              <w:t>]</w:t>
            </w:r>
          </w:p>
          <w:p w:rsidR="00925439" w:rsidRDefault="001902C2" w:rsidP="0073404C">
            <w:r>
              <w:t>-INACTIVE</w:t>
            </w:r>
            <w:r w:rsidR="001E7E08">
              <w:t xml:space="preserve"> [</w:t>
            </w:r>
            <w:r w:rsidR="001E7E08" w:rsidRPr="001E7E08">
              <w:rPr>
                <w:b/>
              </w:rPr>
              <w:t>INA</w:t>
            </w:r>
            <w:r w:rsidR="001E7E08">
              <w:t>]</w:t>
            </w:r>
          </w:p>
        </w:tc>
        <w:tc>
          <w:tcPr>
            <w:tcW w:w="4536" w:type="dxa"/>
          </w:tcPr>
          <w:p w:rsidR="00925439" w:rsidRDefault="001902C2" w:rsidP="00357A14">
            <w:r>
              <w:t xml:space="preserve">Accounts are qualified as active if they are not blocked and if transactions </w:t>
            </w:r>
            <w:r w:rsidR="00357A14">
              <w:t>can be processed</w:t>
            </w:r>
            <w:r>
              <w:t>.</w:t>
            </w:r>
          </w:p>
        </w:tc>
      </w:tr>
      <w:tr w:rsidR="001902C2" w:rsidTr="001902C2">
        <w:tc>
          <w:tcPr>
            <w:tcW w:w="2958" w:type="dxa"/>
          </w:tcPr>
          <w:p w:rsidR="001902C2" w:rsidRDefault="001902C2" w:rsidP="001902C2">
            <w:r w:rsidRPr="001902C2">
              <w:t xml:space="preserve">Country of </w:t>
            </w:r>
            <w:r w:rsidR="00A0111E">
              <w:t>residence</w:t>
            </w:r>
            <w:r w:rsidRPr="001902C2">
              <w:t xml:space="preserve"> of the creditor</w:t>
            </w:r>
            <w:r w:rsidRPr="001902C2">
              <w:tab/>
            </w:r>
          </w:p>
        </w:tc>
        <w:tc>
          <w:tcPr>
            <w:tcW w:w="3387" w:type="dxa"/>
          </w:tcPr>
          <w:p w:rsidR="001902C2" w:rsidRDefault="00295893" w:rsidP="0073404C">
            <w:r>
              <w:t>[</w:t>
            </w:r>
            <w:r w:rsidRPr="00295893">
              <w:t>2-LETTER ISO 3166 COUNTRY CODE</w:t>
            </w:r>
            <w:r>
              <w:t>]</w:t>
            </w:r>
          </w:p>
        </w:tc>
        <w:tc>
          <w:tcPr>
            <w:tcW w:w="4536" w:type="dxa"/>
          </w:tcPr>
          <w:p w:rsidR="001902C2" w:rsidRDefault="001902C2" w:rsidP="00EB44A2">
            <w:r w:rsidRPr="001902C2">
              <w:t>The country of residence of the account holder of which the account is credited.</w:t>
            </w:r>
          </w:p>
        </w:tc>
      </w:tr>
      <w:tr w:rsidR="001902C2" w:rsidTr="001902C2">
        <w:tc>
          <w:tcPr>
            <w:tcW w:w="2958" w:type="dxa"/>
          </w:tcPr>
          <w:p w:rsidR="001902C2" w:rsidRDefault="001902C2" w:rsidP="001902C2">
            <w:r w:rsidRPr="001902C2">
              <w:t xml:space="preserve">Country of </w:t>
            </w:r>
            <w:r w:rsidR="00A0111E">
              <w:t>residence</w:t>
            </w:r>
            <w:r w:rsidRPr="001902C2">
              <w:t xml:space="preserve"> of the debtor</w:t>
            </w:r>
          </w:p>
        </w:tc>
        <w:tc>
          <w:tcPr>
            <w:tcW w:w="3387" w:type="dxa"/>
          </w:tcPr>
          <w:p w:rsidR="001902C2" w:rsidRDefault="00295893" w:rsidP="0073404C">
            <w:r>
              <w:t>[</w:t>
            </w:r>
            <w:r w:rsidRPr="00295893">
              <w:t>2-LETTER ISO 3166 COUNTRY CODE</w:t>
            </w:r>
            <w:r>
              <w:t>]</w:t>
            </w:r>
          </w:p>
        </w:tc>
        <w:tc>
          <w:tcPr>
            <w:tcW w:w="4536" w:type="dxa"/>
          </w:tcPr>
          <w:p w:rsidR="001902C2" w:rsidRDefault="001902C2" w:rsidP="00EB44A2">
            <w:r w:rsidRPr="001902C2">
              <w:t>The country of residence of the account holder of which the account is debited.</w:t>
            </w:r>
          </w:p>
          <w:p w:rsidR="0069467B" w:rsidRPr="001902C2" w:rsidRDefault="00E96D31" w:rsidP="00E96D31">
            <w:pPr>
              <w:pStyle w:val="ListParagraph"/>
              <w:numPr>
                <w:ilvl w:val="0"/>
                <w:numId w:val="4"/>
              </w:numPr>
            </w:pPr>
            <w:r>
              <w:t xml:space="preserve"> </w:t>
            </w:r>
          </w:p>
        </w:tc>
      </w:tr>
      <w:tr w:rsidR="001902C2" w:rsidTr="001902C2">
        <w:tc>
          <w:tcPr>
            <w:tcW w:w="2958" w:type="dxa"/>
          </w:tcPr>
          <w:p w:rsidR="001902C2" w:rsidRDefault="00A0111E" w:rsidP="001902C2">
            <w:r w:rsidRPr="00A0111E">
              <w:t xml:space="preserve">Country of </w:t>
            </w:r>
            <w:r>
              <w:t>residence</w:t>
            </w:r>
            <w:r w:rsidRPr="00A0111E">
              <w:t xml:space="preserve"> of the account holder</w:t>
            </w:r>
          </w:p>
        </w:tc>
        <w:tc>
          <w:tcPr>
            <w:tcW w:w="3387" w:type="dxa"/>
          </w:tcPr>
          <w:p w:rsidR="001902C2" w:rsidRDefault="00295893" w:rsidP="0073404C">
            <w:r>
              <w:t>[</w:t>
            </w:r>
            <w:r w:rsidRPr="00295893">
              <w:t>2-LETTER ISO 3166 COUNTRY CODE</w:t>
            </w:r>
            <w:r>
              <w:t>]</w:t>
            </w:r>
          </w:p>
        </w:tc>
        <w:tc>
          <w:tcPr>
            <w:tcW w:w="4536" w:type="dxa"/>
          </w:tcPr>
          <w:p w:rsidR="001902C2" w:rsidRPr="001902C2" w:rsidRDefault="00FC20E8" w:rsidP="00D64F97">
            <w:r w:rsidRPr="00A0111E">
              <w:t>The</w:t>
            </w:r>
            <w:r w:rsidR="00A0111E" w:rsidRPr="00A0111E">
              <w:t xml:space="preserve"> country of residence of the account holder.</w:t>
            </w:r>
          </w:p>
        </w:tc>
      </w:tr>
      <w:tr w:rsidR="001902C2" w:rsidTr="001902C2">
        <w:tc>
          <w:tcPr>
            <w:tcW w:w="2958" w:type="dxa"/>
          </w:tcPr>
          <w:p w:rsidR="001902C2" w:rsidRDefault="00FC20E8" w:rsidP="001902C2">
            <w:r w:rsidRPr="00FC20E8">
              <w:t>Country of PSP of the creditor</w:t>
            </w:r>
          </w:p>
        </w:tc>
        <w:tc>
          <w:tcPr>
            <w:tcW w:w="3387" w:type="dxa"/>
          </w:tcPr>
          <w:p w:rsidR="001902C2" w:rsidRDefault="00295893" w:rsidP="0073404C">
            <w:r>
              <w:t>[</w:t>
            </w:r>
            <w:r w:rsidRPr="00295893">
              <w:t>2-LETTER ISO 3166 COUNTRY CODE</w:t>
            </w:r>
            <w:r>
              <w:t>] [</w:t>
            </w:r>
            <w:r w:rsidRPr="00295893">
              <w:t>2-LETTER ISO 3166 COUNTRY CODE</w:t>
            </w:r>
            <w:r>
              <w:t>]</w:t>
            </w:r>
          </w:p>
        </w:tc>
        <w:tc>
          <w:tcPr>
            <w:tcW w:w="4536" w:type="dxa"/>
          </w:tcPr>
          <w:p w:rsidR="001902C2" w:rsidRPr="001902C2" w:rsidRDefault="00FC20E8" w:rsidP="00E245A9">
            <w:r>
              <w:t xml:space="preserve">The country </w:t>
            </w:r>
            <w:r w:rsidR="007962AD">
              <w:t xml:space="preserve">of the PSP </w:t>
            </w:r>
            <w:r w:rsidR="00357A14">
              <w:t xml:space="preserve">(ex.: bank) </w:t>
            </w:r>
            <w:r w:rsidR="007962AD">
              <w:t>servicing the creditor</w:t>
            </w:r>
            <w:r w:rsidR="00E245A9">
              <w:t>; the creditor is</w:t>
            </w:r>
            <w:r w:rsidR="007962AD">
              <w:t xml:space="preserve"> the account holder whose account is credited</w:t>
            </w:r>
            <w:r w:rsidR="00EB44A2">
              <w:t>.</w:t>
            </w:r>
          </w:p>
        </w:tc>
      </w:tr>
      <w:tr w:rsidR="00A0111E" w:rsidTr="001902C2">
        <w:tc>
          <w:tcPr>
            <w:tcW w:w="2958" w:type="dxa"/>
          </w:tcPr>
          <w:p w:rsidR="00A0111E" w:rsidRDefault="00FC20E8" w:rsidP="001902C2">
            <w:r w:rsidRPr="00FC20E8">
              <w:t>Country of PSP of the debtor</w:t>
            </w:r>
          </w:p>
        </w:tc>
        <w:tc>
          <w:tcPr>
            <w:tcW w:w="3387" w:type="dxa"/>
          </w:tcPr>
          <w:p w:rsidR="00A0111E" w:rsidRDefault="00295893" w:rsidP="0073404C">
            <w:r>
              <w:t>[</w:t>
            </w:r>
            <w:r w:rsidRPr="00295893">
              <w:t>2-LETTER ISO 3166 COUNTRY CODE</w:t>
            </w:r>
            <w:r>
              <w:t>]</w:t>
            </w:r>
          </w:p>
        </w:tc>
        <w:tc>
          <w:tcPr>
            <w:tcW w:w="4536" w:type="dxa"/>
          </w:tcPr>
          <w:p w:rsidR="00A0111E" w:rsidRPr="001902C2" w:rsidRDefault="007962AD" w:rsidP="00E245A9">
            <w:r>
              <w:t xml:space="preserve">The country of the PSP </w:t>
            </w:r>
            <w:r w:rsidR="00357A14">
              <w:t xml:space="preserve">(ex.: bank) </w:t>
            </w:r>
            <w:r>
              <w:t>servicing the debtor</w:t>
            </w:r>
            <w:r w:rsidR="00E245A9">
              <w:t>; the debtor is</w:t>
            </w:r>
            <w:r>
              <w:t xml:space="preserve"> the account holder whose account is debited</w:t>
            </w:r>
            <w:r w:rsidR="00EB44A2">
              <w:t>.</w:t>
            </w:r>
          </w:p>
        </w:tc>
      </w:tr>
      <w:tr w:rsidR="00A0111E" w:rsidTr="001902C2">
        <w:tc>
          <w:tcPr>
            <w:tcW w:w="2958" w:type="dxa"/>
          </w:tcPr>
          <w:p w:rsidR="00A0111E" w:rsidRDefault="00E766A0" w:rsidP="001902C2">
            <w:r w:rsidRPr="00E766A0">
              <w:t>Currency of the float</w:t>
            </w:r>
          </w:p>
        </w:tc>
        <w:tc>
          <w:tcPr>
            <w:tcW w:w="3387" w:type="dxa"/>
          </w:tcPr>
          <w:p w:rsidR="00A0111E" w:rsidRDefault="006A41F7" w:rsidP="0073404C">
            <w:r>
              <w:t>[</w:t>
            </w:r>
            <w:r w:rsidRPr="006A41F7">
              <w:t xml:space="preserve">3-LETTER ISO 4217 </w:t>
            </w:r>
            <w:r>
              <w:t xml:space="preserve">CURRENCY </w:t>
            </w:r>
            <w:r w:rsidRPr="006A41F7">
              <w:t>CODE</w:t>
            </w:r>
            <w:r>
              <w:t>]</w:t>
            </w:r>
          </w:p>
        </w:tc>
        <w:tc>
          <w:tcPr>
            <w:tcW w:w="4536" w:type="dxa"/>
          </w:tcPr>
          <w:p w:rsidR="00A0111E" w:rsidRPr="001902C2" w:rsidRDefault="00E766A0" w:rsidP="00E766A0">
            <w:r w:rsidRPr="00E766A0">
              <w:t>The currency of the account on which the float is stored.</w:t>
            </w:r>
          </w:p>
        </w:tc>
      </w:tr>
      <w:tr w:rsidR="00A0111E" w:rsidTr="001902C2">
        <w:tc>
          <w:tcPr>
            <w:tcW w:w="2958" w:type="dxa"/>
          </w:tcPr>
          <w:p w:rsidR="00A0111E" w:rsidRDefault="00420578" w:rsidP="001902C2">
            <w:r>
              <w:t>Currency</w:t>
            </w:r>
          </w:p>
        </w:tc>
        <w:tc>
          <w:tcPr>
            <w:tcW w:w="3387" w:type="dxa"/>
          </w:tcPr>
          <w:p w:rsidR="00A0111E" w:rsidRDefault="006A41F7" w:rsidP="0073404C">
            <w:r>
              <w:t>[</w:t>
            </w:r>
            <w:r w:rsidRPr="006A41F7">
              <w:t xml:space="preserve">3-LETTER ISO 4217 </w:t>
            </w:r>
            <w:r>
              <w:t xml:space="preserve">CURRENCY </w:t>
            </w:r>
            <w:r w:rsidRPr="006A41F7">
              <w:t>CODE</w:t>
            </w:r>
            <w:r>
              <w:t>]</w:t>
            </w:r>
          </w:p>
        </w:tc>
        <w:tc>
          <w:tcPr>
            <w:tcW w:w="4536" w:type="dxa"/>
          </w:tcPr>
          <w:p w:rsidR="00DB3C16" w:rsidRPr="00DB3C16" w:rsidRDefault="00DB3C16" w:rsidP="00DB3C16">
            <w:pPr>
              <w:pStyle w:val="norm"/>
              <w:spacing w:line="240" w:lineRule="auto"/>
              <w:rPr>
                <w:szCs w:val="22"/>
                <w:lang w:val="en-US" w:bidi="en-US"/>
              </w:rPr>
            </w:pPr>
            <w:r w:rsidRPr="00DB3C16">
              <w:rPr>
                <w:szCs w:val="22"/>
                <w:lang w:val="en-US" w:bidi="en-US"/>
              </w:rPr>
              <w:t xml:space="preserve">The currency (of </w:t>
            </w:r>
            <w:r>
              <w:rPr>
                <w:szCs w:val="22"/>
                <w:lang w:val="en-US" w:bidi="en-US"/>
              </w:rPr>
              <w:t xml:space="preserve">the </w:t>
            </w:r>
            <w:r w:rsidRPr="00DB3C16">
              <w:rPr>
                <w:szCs w:val="22"/>
                <w:lang w:val="en-US" w:bidi="en-US"/>
              </w:rPr>
              <w:t xml:space="preserve">transaction) refers to the currency in which the transaction was initiated. </w:t>
            </w:r>
            <w:r w:rsidRPr="00DB3C16">
              <w:rPr>
                <w:szCs w:val="22"/>
                <w:lang w:val="en-US" w:bidi="en-US"/>
              </w:rPr>
              <w:lastRenderedPageBreak/>
              <w:t>It may differ from the accounting currency of the reporting agent.</w:t>
            </w:r>
          </w:p>
          <w:p w:rsidR="00A0111E" w:rsidRPr="001902C2" w:rsidRDefault="00420578" w:rsidP="00EB44A2">
            <w:r>
              <w:t>Example: transaction performed in USD with the accounting currency of the reporting agent being the euro: the Currency of transaction will show «USD ». The value of this transaction (column "</w:t>
            </w:r>
            <w:r w:rsidR="00EB44A2">
              <w:t>Value</w:t>
            </w:r>
            <w:r>
              <w:t>") will be converted into euro.</w:t>
            </w:r>
          </w:p>
        </w:tc>
      </w:tr>
      <w:tr w:rsidR="00A0111E" w:rsidTr="001902C2">
        <w:tc>
          <w:tcPr>
            <w:tcW w:w="2958" w:type="dxa"/>
          </w:tcPr>
          <w:p w:rsidR="00A0111E" w:rsidRDefault="00EF3A08" w:rsidP="001902C2">
            <w:r w:rsidRPr="00EF3A08">
              <w:lastRenderedPageBreak/>
              <w:t xml:space="preserve">Float </w:t>
            </w:r>
          </w:p>
        </w:tc>
        <w:tc>
          <w:tcPr>
            <w:tcW w:w="3387" w:type="dxa"/>
          </w:tcPr>
          <w:p w:rsidR="00A0111E" w:rsidRDefault="00F209C1" w:rsidP="0073404C">
            <w:r>
              <w:t>[FLOA]</w:t>
            </w:r>
          </w:p>
        </w:tc>
        <w:tc>
          <w:tcPr>
            <w:tcW w:w="4536" w:type="dxa"/>
          </w:tcPr>
          <w:p w:rsidR="00EF3A08" w:rsidRDefault="00EF3A08" w:rsidP="00EF3A08">
            <w:r>
              <w:t>It relates to the value - in the accounting currency - of outstanding funds on the account.</w:t>
            </w:r>
          </w:p>
          <w:p w:rsidR="00A0111E" w:rsidRDefault="00EF3A08" w:rsidP="00EF3A08">
            <w:r>
              <w:t>The float should be reported for all account categories and all activity levels.</w:t>
            </w:r>
          </w:p>
          <w:p w:rsidR="00661D28" w:rsidRPr="001902C2" w:rsidRDefault="001D25DB" w:rsidP="001D25DB">
            <w:r>
              <w:t xml:space="preserve">It is the </w:t>
            </w:r>
            <w:r w:rsidRPr="00661D28">
              <w:t>value of the float at the end of the reporting period, in the accounting currency</w:t>
            </w:r>
            <w:r>
              <w:t>.</w:t>
            </w:r>
          </w:p>
        </w:tc>
      </w:tr>
      <w:tr w:rsidR="00E766A0" w:rsidTr="001902C2">
        <w:tc>
          <w:tcPr>
            <w:tcW w:w="2958" w:type="dxa"/>
          </w:tcPr>
          <w:p w:rsidR="00E766A0" w:rsidRDefault="00352510" w:rsidP="001902C2">
            <w:r w:rsidRPr="00352510">
              <w:t>Operation type</w:t>
            </w:r>
          </w:p>
        </w:tc>
        <w:tc>
          <w:tcPr>
            <w:tcW w:w="3387" w:type="dxa"/>
          </w:tcPr>
          <w:p w:rsidR="00E766A0" w:rsidRDefault="00F454EC" w:rsidP="0073404C">
            <w:r>
              <w:t>-</w:t>
            </w:r>
            <w:r w:rsidR="005A07F1">
              <w:t xml:space="preserve">FUNDING </w:t>
            </w:r>
            <w:r>
              <w:t>[</w:t>
            </w:r>
            <w:r w:rsidRPr="005F4467">
              <w:rPr>
                <w:b/>
              </w:rPr>
              <w:t>CHA</w:t>
            </w:r>
            <w:r>
              <w:t>]</w:t>
            </w:r>
          </w:p>
          <w:p w:rsidR="00F454EC" w:rsidRDefault="00F454EC" w:rsidP="0073404C">
            <w:r>
              <w:t>-</w:t>
            </w:r>
            <w:r w:rsidR="005A07F1">
              <w:t xml:space="preserve">WITHDRAWAL </w:t>
            </w:r>
            <w:r>
              <w:t>[</w:t>
            </w:r>
            <w:r w:rsidRPr="005F4467">
              <w:rPr>
                <w:b/>
              </w:rPr>
              <w:t>DCH</w:t>
            </w:r>
            <w:r>
              <w:t>]</w:t>
            </w:r>
          </w:p>
          <w:p w:rsidR="00F454EC" w:rsidRDefault="00F454EC" w:rsidP="0073404C">
            <w:r>
              <w:t>-</w:t>
            </w:r>
            <w:r w:rsidR="005A07F1">
              <w:t xml:space="preserve">MERCHANT FUNDING </w:t>
            </w:r>
            <w:r w:rsidR="00720C7D">
              <w:t>[</w:t>
            </w:r>
            <w:r w:rsidR="00720C7D" w:rsidRPr="005F4467">
              <w:rPr>
                <w:b/>
              </w:rPr>
              <w:t>CHM</w:t>
            </w:r>
            <w:r w:rsidR="00720C7D">
              <w:t>]</w:t>
            </w:r>
          </w:p>
          <w:p w:rsidR="00F454EC" w:rsidRDefault="00F454EC" w:rsidP="0073404C">
            <w:r>
              <w:t>-</w:t>
            </w:r>
            <w:r w:rsidR="005A07F1">
              <w:t xml:space="preserve">MERCHANT WITHDRAWAL </w:t>
            </w:r>
            <w:r w:rsidR="00720C7D">
              <w:t>[</w:t>
            </w:r>
            <w:r w:rsidR="00720C7D" w:rsidRPr="005F4467">
              <w:rPr>
                <w:b/>
              </w:rPr>
              <w:t>DCM</w:t>
            </w:r>
            <w:r w:rsidR="00720C7D">
              <w:t>]</w:t>
            </w:r>
          </w:p>
          <w:p w:rsidR="00F454EC" w:rsidRDefault="00F454EC" w:rsidP="0073404C">
            <w:r>
              <w:t xml:space="preserve">-ON-US </w:t>
            </w:r>
            <w:r w:rsidR="005A07F1">
              <w:t xml:space="preserve">TRANSFER </w:t>
            </w:r>
            <w:r w:rsidR="00720C7D">
              <w:t>[</w:t>
            </w:r>
            <w:r w:rsidR="00720C7D" w:rsidRPr="005F4467">
              <w:rPr>
                <w:b/>
              </w:rPr>
              <w:t>ON</w:t>
            </w:r>
            <w:r w:rsidR="00F7626B">
              <w:rPr>
                <w:b/>
              </w:rPr>
              <w:t>S</w:t>
            </w:r>
            <w:r w:rsidR="00720C7D">
              <w:t>]</w:t>
            </w:r>
          </w:p>
          <w:p w:rsidR="00F454EC" w:rsidRDefault="00F454EC" w:rsidP="0073404C">
            <w:r>
              <w:t>-</w:t>
            </w:r>
            <w:r w:rsidR="005A07F1">
              <w:t xml:space="preserve">CREDIT </w:t>
            </w:r>
            <w:r w:rsidR="00720C7D">
              <w:t>[</w:t>
            </w:r>
            <w:r w:rsidR="00720C7D" w:rsidRPr="005F4467">
              <w:rPr>
                <w:b/>
              </w:rPr>
              <w:t>CRE</w:t>
            </w:r>
            <w:r w:rsidR="00720C7D">
              <w:t>]</w:t>
            </w:r>
          </w:p>
          <w:p w:rsidR="004918AF" w:rsidRPr="00E9050D" w:rsidRDefault="004918AF" w:rsidP="00FA7482">
            <w:pPr>
              <w:rPr>
                <w:strike/>
              </w:rPr>
            </w:pPr>
          </w:p>
        </w:tc>
        <w:tc>
          <w:tcPr>
            <w:tcW w:w="4536" w:type="dxa"/>
          </w:tcPr>
          <w:p w:rsidR="008A3369" w:rsidRDefault="0062070F" w:rsidP="001902C2">
            <w:r>
              <w:t xml:space="preserve">The type of operation performed on the account.  </w:t>
            </w:r>
          </w:p>
          <w:p w:rsidR="008A3369" w:rsidRDefault="008A3369" w:rsidP="001902C2">
            <w:r>
              <w:t xml:space="preserve">Operations </w:t>
            </w:r>
            <w:r w:rsidR="003A35A0">
              <w:t>are</w:t>
            </w:r>
            <w:r>
              <w:t xml:space="preserve"> </w:t>
            </w:r>
            <w:r w:rsidR="003A35A0">
              <w:t>“</w:t>
            </w:r>
            <w:r w:rsidRPr="004918AF">
              <w:rPr>
                <w:u w:val="single"/>
              </w:rPr>
              <w:t>funding</w:t>
            </w:r>
            <w:r w:rsidR="003A35A0">
              <w:t>”</w:t>
            </w:r>
            <w:r>
              <w:t xml:space="preserve"> operations</w:t>
            </w:r>
            <w:r w:rsidR="003A35A0">
              <w:t xml:space="preserve">, when funds are credited on the account. They are reported as </w:t>
            </w:r>
            <w:r w:rsidR="002D2B1D">
              <w:t>“m</w:t>
            </w:r>
            <w:r w:rsidR="003A35A0">
              <w:t>erchant funding</w:t>
            </w:r>
            <w:r w:rsidR="002D2B1D">
              <w:t>” only</w:t>
            </w:r>
            <w:r w:rsidR="003A35A0">
              <w:t xml:space="preserve"> when accounts held by merchants (i.e. professional accounts) are credited.</w:t>
            </w:r>
            <w:r>
              <w:t xml:space="preserve"> </w:t>
            </w:r>
          </w:p>
          <w:p w:rsidR="008A3369" w:rsidRDefault="003A35A0" w:rsidP="001902C2">
            <w:r>
              <w:t>Operations are “</w:t>
            </w:r>
            <w:r w:rsidRPr="004918AF">
              <w:rPr>
                <w:u w:val="single"/>
              </w:rPr>
              <w:t>withdrawal</w:t>
            </w:r>
            <w:r>
              <w:t xml:space="preserve">” operations, when funds are debited from the account. They are reported as </w:t>
            </w:r>
            <w:r w:rsidR="002D2B1D">
              <w:t>“m</w:t>
            </w:r>
            <w:r>
              <w:t>erchant withdrawal</w:t>
            </w:r>
            <w:r w:rsidR="002D2B1D">
              <w:t>”</w:t>
            </w:r>
            <w:r>
              <w:t xml:space="preserve"> </w:t>
            </w:r>
            <w:r w:rsidR="002D2B1D">
              <w:t xml:space="preserve">only </w:t>
            </w:r>
            <w:r>
              <w:t xml:space="preserve">when accounts held by merchants (i.e. professional accounts) are </w:t>
            </w:r>
            <w:r w:rsidR="00DF3A0C">
              <w:t>debited</w:t>
            </w:r>
            <w:r>
              <w:t xml:space="preserve">. </w:t>
            </w:r>
          </w:p>
          <w:p w:rsidR="00EB44A2" w:rsidRDefault="00EB44A2" w:rsidP="001902C2">
            <w:r>
              <w:t>Operations are reported as “</w:t>
            </w:r>
            <w:r w:rsidRPr="004918AF">
              <w:rPr>
                <w:u w:val="single"/>
              </w:rPr>
              <w:t>ON</w:t>
            </w:r>
            <w:r w:rsidR="00DB3C16" w:rsidRPr="004918AF">
              <w:rPr>
                <w:u w:val="single"/>
              </w:rPr>
              <w:t>-</w:t>
            </w:r>
            <w:r w:rsidRPr="004918AF">
              <w:rPr>
                <w:u w:val="single"/>
              </w:rPr>
              <w:t>US</w:t>
            </w:r>
            <w:r>
              <w:t>” when there is a transfer where both accounts are held with the reporting agent.</w:t>
            </w:r>
            <w:r w:rsidR="00DB3C16">
              <w:t xml:space="preserve"> </w:t>
            </w:r>
          </w:p>
          <w:p w:rsidR="006829C0" w:rsidRDefault="0062070F" w:rsidP="009528FB">
            <w:r w:rsidRPr="004918AF">
              <w:rPr>
                <w:u w:val="single"/>
              </w:rPr>
              <w:t>Credit operations</w:t>
            </w:r>
            <w:r>
              <w:t xml:space="preserve"> are reported </w:t>
            </w:r>
            <w:r w:rsidR="002D2B1D">
              <w:t>when a payment transaction</w:t>
            </w:r>
            <w:r w:rsidR="00FE009C">
              <w:t xml:space="preserve"> (which </w:t>
            </w:r>
            <w:r w:rsidR="001D25DB">
              <w:t xml:space="preserve">is or was included in the </w:t>
            </w:r>
            <w:r w:rsidR="00FE009C">
              <w:t>report</w:t>
            </w:r>
            <w:r w:rsidR="00C64E7C">
              <w:t>ing</w:t>
            </w:r>
            <w:r w:rsidR="00FE009C">
              <w:t>)</w:t>
            </w:r>
            <w:r w:rsidR="002D2B1D">
              <w:t xml:space="preserve"> is reversed</w:t>
            </w:r>
            <w:r>
              <w:t>, i.e. the creditor in the original transaction returns the funds to the debtor. Credit operations cover different situations, e.g. chargeback or reimbursement.</w:t>
            </w:r>
            <w:r w:rsidR="002D2B1D">
              <w:t xml:space="preserve"> </w:t>
            </w:r>
            <w:r w:rsidR="006829C0">
              <w:t xml:space="preserve">For </w:t>
            </w:r>
            <w:r w:rsidR="002D2B1D">
              <w:t xml:space="preserve">the reporting of the credit operation, </w:t>
            </w:r>
            <w:r w:rsidR="00913248">
              <w:t>the dimensions remain</w:t>
            </w:r>
            <w:r w:rsidR="006829C0">
              <w:t xml:space="preserve"> </w:t>
            </w:r>
            <w:r w:rsidR="00E23663">
              <w:t>the same as in</w:t>
            </w:r>
            <w:r w:rsidR="006829C0">
              <w:t xml:space="preserve"> the original transaction</w:t>
            </w:r>
            <w:r w:rsidR="00A747DF">
              <w:t>; t</w:t>
            </w:r>
            <w:r w:rsidR="00913248">
              <w:t xml:space="preserve">he </w:t>
            </w:r>
            <w:r w:rsidR="00E23663">
              <w:t>same combination</w:t>
            </w:r>
            <w:r w:rsidR="00913248">
              <w:t xml:space="preserve"> is reported, except for the Operation type which is changed to “Credit”</w:t>
            </w:r>
            <w:r w:rsidR="006829C0">
              <w:t xml:space="preserve">. </w:t>
            </w:r>
            <w:r w:rsidR="00E23663">
              <w:t xml:space="preserve"> </w:t>
            </w:r>
            <w:r w:rsidR="007E65EB">
              <w:t xml:space="preserve">Credit </w:t>
            </w:r>
            <w:r w:rsidR="00D7150D">
              <w:t>operations are</w:t>
            </w:r>
            <w:r w:rsidR="00E23663">
              <w:t xml:space="preserve"> reported in absolute value.</w:t>
            </w:r>
          </w:p>
          <w:p w:rsidR="00DA30B6" w:rsidRPr="00FA7482" w:rsidRDefault="00DA30B6" w:rsidP="00E96D31"/>
        </w:tc>
      </w:tr>
      <w:tr w:rsidR="00E766A0" w:rsidTr="00F5086D">
        <w:trPr>
          <w:trHeight w:val="1026"/>
        </w:trPr>
        <w:tc>
          <w:tcPr>
            <w:tcW w:w="2958" w:type="dxa"/>
          </w:tcPr>
          <w:p w:rsidR="00E766A0" w:rsidRDefault="006426C2" w:rsidP="001902C2">
            <w:r w:rsidRPr="006426C2">
              <w:t>Transfer type</w:t>
            </w:r>
          </w:p>
        </w:tc>
        <w:tc>
          <w:tcPr>
            <w:tcW w:w="3387" w:type="dxa"/>
          </w:tcPr>
          <w:p w:rsidR="005A07F1" w:rsidRDefault="005A07F1" w:rsidP="0073404C">
            <w:r>
              <w:t>-PURCHASE</w:t>
            </w:r>
            <w:r w:rsidR="00D92092">
              <w:t xml:space="preserve"> [</w:t>
            </w:r>
            <w:r w:rsidR="00D92092" w:rsidRPr="001B70F8">
              <w:rPr>
                <w:b/>
              </w:rPr>
              <w:t>PUR</w:t>
            </w:r>
            <w:r w:rsidR="00D92092">
              <w:t>]</w:t>
            </w:r>
          </w:p>
          <w:p w:rsidR="00E9050D" w:rsidRDefault="00E9050D" w:rsidP="0073404C">
            <w:r>
              <w:t>- PURCHASE MARKETPLACE [</w:t>
            </w:r>
            <w:r w:rsidRPr="00734858">
              <w:rPr>
                <w:b/>
              </w:rPr>
              <w:t>MKP</w:t>
            </w:r>
            <w:r>
              <w:t>]</w:t>
            </w:r>
          </w:p>
          <w:p w:rsidR="005A07F1" w:rsidRDefault="005A07F1" w:rsidP="005A07F1">
            <w:r>
              <w:t>-P2P</w:t>
            </w:r>
            <w:r w:rsidRPr="005A07F1">
              <w:t xml:space="preserve"> </w:t>
            </w:r>
            <w:r w:rsidR="00D92092">
              <w:t>[</w:t>
            </w:r>
            <w:r w:rsidR="00D92092" w:rsidRPr="001B70F8">
              <w:rPr>
                <w:b/>
              </w:rPr>
              <w:t>P2P</w:t>
            </w:r>
            <w:r w:rsidR="00D92092">
              <w:t>]</w:t>
            </w:r>
          </w:p>
          <w:p w:rsidR="00E766A0" w:rsidRDefault="005A07F1" w:rsidP="005A07F1">
            <w:r>
              <w:t>-</w:t>
            </w:r>
            <w:r w:rsidRPr="005A07F1">
              <w:t>UNKNOWN</w:t>
            </w:r>
            <w:r w:rsidR="00D92092">
              <w:t xml:space="preserve"> [</w:t>
            </w:r>
            <w:r w:rsidR="00D92092" w:rsidRPr="001B70F8">
              <w:rPr>
                <w:b/>
              </w:rPr>
              <w:t>INC</w:t>
            </w:r>
            <w:r w:rsidR="00D92092">
              <w:t>]</w:t>
            </w:r>
          </w:p>
          <w:p w:rsidR="005A07F1" w:rsidRDefault="005A07F1" w:rsidP="005A07F1">
            <w:r>
              <w:t>-NOT APPLICABLE</w:t>
            </w:r>
            <w:r w:rsidR="00D92092">
              <w:t xml:space="preserve"> [</w:t>
            </w:r>
            <w:r w:rsidR="00F7626B">
              <w:t>NAP</w:t>
            </w:r>
            <w:r w:rsidR="00D92092">
              <w:t>]</w:t>
            </w:r>
          </w:p>
          <w:p w:rsidR="006D6096" w:rsidRDefault="006D6096" w:rsidP="005A07F1"/>
        </w:tc>
        <w:tc>
          <w:tcPr>
            <w:tcW w:w="4536" w:type="dxa"/>
          </w:tcPr>
          <w:p w:rsidR="00193011" w:rsidRDefault="00193011" w:rsidP="000E5862">
            <w:r>
              <w:t>Transfer type</w:t>
            </w:r>
            <w:r w:rsidRPr="00193011">
              <w:t xml:space="preserve"> applies only for on-us </w:t>
            </w:r>
            <w:r w:rsidR="00325071">
              <w:t>operations</w:t>
            </w:r>
            <w:r w:rsidRPr="00193011">
              <w:t>. For all other operation type</w:t>
            </w:r>
            <w:r w:rsidR="00325071">
              <w:t>s</w:t>
            </w:r>
            <w:r w:rsidRPr="00193011">
              <w:t>, the value should be “not applicable (N/A)”.</w:t>
            </w:r>
          </w:p>
          <w:p w:rsidR="00193011" w:rsidRDefault="00193011" w:rsidP="000E5862"/>
          <w:p w:rsidR="00D614AB" w:rsidRDefault="004918AF" w:rsidP="000E5862">
            <w:r>
              <w:t xml:space="preserve">For on-us transactions, the transfer type may be “purchase”, </w:t>
            </w:r>
            <w:r w:rsidR="00D614AB">
              <w:t xml:space="preserve">“purchase marketplace”, </w:t>
            </w:r>
            <w:r>
              <w:t xml:space="preserve">“P2P” or “unknown”.  </w:t>
            </w:r>
            <w:r w:rsidR="000E5862">
              <w:t xml:space="preserve">It indicates if the transaction is </w:t>
            </w:r>
            <w:r w:rsidR="000E5862">
              <w:lastRenderedPageBreak/>
              <w:t xml:space="preserve">a purchase or a P2P (Person to Person) transaction. </w:t>
            </w:r>
          </w:p>
          <w:p w:rsidR="00D614AB" w:rsidRDefault="000E5862" w:rsidP="000E5862">
            <w:r>
              <w:t xml:space="preserve">When at least one of the </w:t>
            </w:r>
            <w:r w:rsidR="00BA6D68">
              <w:t xml:space="preserve">accounts </w:t>
            </w:r>
            <w:r>
              <w:t xml:space="preserve">to the transaction is a </w:t>
            </w:r>
            <w:r w:rsidR="00BA6D68">
              <w:t>“</w:t>
            </w:r>
            <w:r>
              <w:t>professional</w:t>
            </w:r>
            <w:r w:rsidR="00BA6D68">
              <w:t>”</w:t>
            </w:r>
            <w:r>
              <w:t xml:space="preserve"> </w:t>
            </w:r>
            <w:r w:rsidR="00BA6D68">
              <w:t>account</w:t>
            </w:r>
            <w:r>
              <w:t xml:space="preserve">, the value is “purchase”. </w:t>
            </w:r>
          </w:p>
          <w:p w:rsidR="00D614AB" w:rsidRDefault="00D614AB" w:rsidP="000E5862">
            <w:r>
              <w:t xml:space="preserve">When a marketplace acts as an intermediary  in the purchase transaction between the debtor and the </w:t>
            </w:r>
            <w:r w:rsidR="00BA6D68">
              <w:t>reporting agent</w:t>
            </w:r>
            <w:r>
              <w:t>, the transfer type is to be reported “purchase marketplace”.</w:t>
            </w:r>
          </w:p>
          <w:p w:rsidR="000E5862" w:rsidRDefault="000E5862" w:rsidP="000E5862">
            <w:r>
              <w:t xml:space="preserve">For a transaction between two </w:t>
            </w:r>
            <w:r w:rsidR="00BA6D68">
              <w:t>“</w:t>
            </w:r>
            <w:r>
              <w:t>private</w:t>
            </w:r>
            <w:r w:rsidR="00BA6D68">
              <w:t>”</w:t>
            </w:r>
            <w:r>
              <w:t xml:space="preserve"> </w:t>
            </w:r>
            <w:r w:rsidR="00BA6D68">
              <w:t>accounts</w:t>
            </w:r>
            <w:r>
              <w:t xml:space="preserve">, the value is “P2P”. Reporting agents who are unable to do this distinction will indicate “inconnu (unknown)”. </w:t>
            </w:r>
          </w:p>
          <w:p w:rsidR="00193011" w:rsidRDefault="000E5862" w:rsidP="000E5862">
            <w:r>
              <w:t>The concept of “purchase”, in this collection, includes the purchase of goods as well as the purchase of services.</w:t>
            </w:r>
          </w:p>
          <w:p w:rsidR="00783B19" w:rsidRPr="00783B19" w:rsidRDefault="00783B19" w:rsidP="000E5862">
            <w:pPr>
              <w:rPr>
                <w:b/>
                <w:u w:val="single"/>
              </w:rPr>
            </w:pPr>
            <w:r w:rsidRPr="00783B19">
              <w:rPr>
                <w:b/>
                <w:u w:val="single"/>
              </w:rPr>
              <w:t>Matching table between the items “operation type</w:t>
            </w:r>
            <w:r w:rsidR="00BA6D68">
              <w:rPr>
                <w:b/>
                <w:u w:val="single"/>
              </w:rPr>
              <w:t>”</w:t>
            </w:r>
            <w:r w:rsidRPr="00783B19">
              <w:rPr>
                <w:b/>
                <w:u w:val="single"/>
              </w:rPr>
              <w:t xml:space="preserve"> and “Transfer type”: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177"/>
            </w:tblGrid>
            <w:tr w:rsidR="0017494F" w:rsidRPr="00E44F92" w:rsidTr="004853B8">
              <w:tc>
                <w:tcPr>
                  <w:tcW w:w="4737" w:type="dxa"/>
                </w:tcPr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b/>
                      <w:sz w:val="20"/>
                      <w:szCs w:val="20"/>
                      <w:lang w:val="fr-LU"/>
                    </w:rPr>
                    <w:t>Operation type</w:t>
                  </w:r>
                </w:p>
              </w:tc>
              <w:tc>
                <w:tcPr>
                  <w:tcW w:w="4737" w:type="dxa"/>
                </w:tcPr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b/>
                      <w:sz w:val="20"/>
                      <w:szCs w:val="20"/>
                      <w:lang w:val="fr-LU"/>
                    </w:rPr>
                    <w:t>Transfer type</w:t>
                  </w:r>
                </w:p>
              </w:tc>
            </w:tr>
            <w:tr w:rsidR="0017494F" w:rsidRPr="00E44F92" w:rsidTr="004853B8">
              <w:tc>
                <w:tcPr>
                  <w:tcW w:w="4737" w:type="dxa"/>
                </w:tcPr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Funding</w:t>
                  </w:r>
                </w:p>
              </w:tc>
              <w:tc>
                <w:tcPr>
                  <w:tcW w:w="4737" w:type="dxa"/>
                </w:tcPr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Not applicable</w:t>
                  </w:r>
                </w:p>
              </w:tc>
            </w:tr>
            <w:tr w:rsidR="0017494F" w:rsidRPr="00E44F92" w:rsidTr="004853B8">
              <w:tc>
                <w:tcPr>
                  <w:tcW w:w="4737" w:type="dxa"/>
                </w:tcPr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Withdrawal</w:t>
                  </w:r>
                </w:p>
              </w:tc>
              <w:tc>
                <w:tcPr>
                  <w:tcW w:w="4737" w:type="dxa"/>
                </w:tcPr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Not applicable</w:t>
                  </w:r>
                </w:p>
              </w:tc>
            </w:tr>
            <w:tr w:rsidR="0017494F" w:rsidRPr="00E44F92" w:rsidTr="004853B8">
              <w:tc>
                <w:tcPr>
                  <w:tcW w:w="4737" w:type="dxa"/>
                </w:tcPr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Merchant funding</w:t>
                  </w:r>
                </w:p>
              </w:tc>
              <w:tc>
                <w:tcPr>
                  <w:tcW w:w="4737" w:type="dxa"/>
                </w:tcPr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Not applicable</w:t>
                  </w:r>
                </w:p>
              </w:tc>
            </w:tr>
            <w:tr w:rsidR="0017494F" w:rsidRPr="00E44F92" w:rsidTr="004853B8">
              <w:tc>
                <w:tcPr>
                  <w:tcW w:w="4737" w:type="dxa"/>
                </w:tcPr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Merchant withdrawal</w:t>
                  </w:r>
                </w:p>
              </w:tc>
              <w:tc>
                <w:tcPr>
                  <w:tcW w:w="4737" w:type="dxa"/>
                </w:tcPr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Not applicable</w:t>
                  </w:r>
                </w:p>
              </w:tc>
            </w:tr>
            <w:tr w:rsidR="0017494F" w:rsidRPr="00E44F92" w:rsidTr="004853B8">
              <w:tc>
                <w:tcPr>
                  <w:tcW w:w="4737" w:type="dxa"/>
                </w:tcPr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On-us</w:t>
                  </w:r>
                </w:p>
              </w:tc>
              <w:tc>
                <w:tcPr>
                  <w:tcW w:w="4737" w:type="dxa"/>
                </w:tcPr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Purchase or</w:t>
                  </w:r>
                </w:p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Purchase marketplace or</w:t>
                  </w:r>
                </w:p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P2P or</w:t>
                  </w:r>
                </w:p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Unknown</w:t>
                  </w:r>
                </w:p>
              </w:tc>
            </w:tr>
            <w:tr w:rsidR="0017494F" w:rsidRPr="00E44F92" w:rsidTr="004853B8">
              <w:tc>
                <w:tcPr>
                  <w:tcW w:w="4737" w:type="dxa"/>
                </w:tcPr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Credit</w:t>
                  </w:r>
                </w:p>
              </w:tc>
              <w:tc>
                <w:tcPr>
                  <w:tcW w:w="4737" w:type="dxa"/>
                </w:tcPr>
                <w:p w:rsidR="0017494F" w:rsidRPr="00E96D31" w:rsidRDefault="0017494F" w:rsidP="0017494F">
                  <w:pPr>
                    <w:spacing w:before="120"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</w:pPr>
                  <w:r w:rsidRPr="00E96D31">
                    <w:rPr>
                      <w:rFonts w:ascii="Arial" w:hAnsi="Arial" w:cs="Arial"/>
                      <w:sz w:val="20"/>
                      <w:szCs w:val="20"/>
                      <w:lang w:val="fr-LU"/>
                    </w:rPr>
                    <w:t>Not applicable</w:t>
                  </w:r>
                </w:p>
              </w:tc>
            </w:tr>
          </w:tbl>
          <w:p w:rsidR="00DA30B6" w:rsidRPr="001902C2" w:rsidRDefault="00DA30B6" w:rsidP="000E5862"/>
        </w:tc>
      </w:tr>
      <w:tr w:rsidR="00E766A0" w:rsidTr="001902C2">
        <w:tc>
          <w:tcPr>
            <w:tcW w:w="2958" w:type="dxa"/>
          </w:tcPr>
          <w:p w:rsidR="00E766A0" w:rsidRDefault="00D42E1C" w:rsidP="001902C2">
            <w:r w:rsidRPr="00D42E1C">
              <w:lastRenderedPageBreak/>
              <w:t>Underlying payment instrument</w:t>
            </w:r>
            <w:r w:rsidR="00BA6D68">
              <w:t xml:space="preserve"> </w:t>
            </w:r>
          </w:p>
        </w:tc>
        <w:tc>
          <w:tcPr>
            <w:tcW w:w="3387" w:type="dxa"/>
          </w:tcPr>
          <w:p w:rsidR="00871235" w:rsidRDefault="00871235" w:rsidP="00871235">
            <w:r>
              <w:t>-</w:t>
            </w:r>
            <w:r w:rsidRPr="00871235">
              <w:t>S</w:t>
            </w:r>
            <w:r w:rsidR="00A35F5B">
              <w:t xml:space="preserve">EPA </w:t>
            </w:r>
            <w:r w:rsidRPr="00871235">
              <w:t>C</w:t>
            </w:r>
            <w:r w:rsidR="00A35F5B">
              <w:t>REDIT TRANSFER</w:t>
            </w:r>
            <w:r w:rsidR="00526583">
              <w:t xml:space="preserve"> [</w:t>
            </w:r>
            <w:r w:rsidR="00526583" w:rsidRPr="00526583">
              <w:rPr>
                <w:b/>
              </w:rPr>
              <w:t>SCT</w:t>
            </w:r>
            <w:r w:rsidR="00526583">
              <w:t>]</w:t>
            </w:r>
          </w:p>
          <w:p w:rsidR="00871235" w:rsidRDefault="00871235" w:rsidP="00871235">
            <w:r>
              <w:t>-S</w:t>
            </w:r>
            <w:r w:rsidR="00A35F5B">
              <w:t xml:space="preserve">EPA </w:t>
            </w:r>
            <w:r>
              <w:t>D</w:t>
            </w:r>
            <w:r w:rsidR="00A35F5B">
              <w:t xml:space="preserve">IRECT </w:t>
            </w:r>
            <w:r>
              <w:t>D</w:t>
            </w:r>
            <w:r w:rsidR="00A35F5B">
              <w:t>EBIT</w:t>
            </w:r>
            <w:r w:rsidR="00526583">
              <w:t xml:space="preserve"> [</w:t>
            </w:r>
            <w:r w:rsidR="00526583" w:rsidRPr="00526583">
              <w:rPr>
                <w:b/>
              </w:rPr>
              <w:t>SDD</w:t>
            </w:r>
            <w:r w:rsidR="00526583">
              <w:t>]</w:t>
            </w:r>
          </w:p>
          <w:p w:rsidR="00871235" w:rsidRDefault="00871235" w:rsidP="00871235">
            <w:r>
              <w:t>-C</w:t>
            </w:r>
            <w:r w:rsidR="00A35F5B">
              <w:t xml:space="preserve">REDIT </w:t>
            </w:r>
            <w:r>
              <w:t>T</w:t>
            </w:r>
            <w:r w:rsidR="00A35F5B">
              <w:t>RANSFER [</w:t>
            </w:r>
            <w:r w:rsidR="006656CF">
              <w:rPr>
                <w:b/>
              </w:rPr>
              <w:t>CRT</w:t>
            </w:r>
            <w:r w:rsidR="00A35F5B">
              <w:t>]</w:t>
            </w:r>
          </w:p>
          <w:p w:rsidR="00871235" w:rsidRPr="0032127F" w:rsidRDefault="00A35F5B" w:rsidP="001B7386">
            <w:pPr>
              <w:spacing w:line="276" w:lineRule="auto"/>
              <w:rPr>
                <w:sz w:val="24"/>
              </w:rPr>
            </w:pPr>
            <w:r>
              <w:t>-DIRECT DEBIT [</w:t>
            </w:r>
            <w:r w:rsidR="006656CF">
              <w:rPr>
                <w:b/>
              </w:rPr>
              <w:t>DID</w:t>
            </w:r>
            <w:r w:rsidR="0032127F">
              <w:rPr>
                <w:b/>
                <w:sz w:val="24"/>
              </w:rPr>
              <w:t>]</w:t>
            </w:r>
          </w:p>
          <w:p w:rsidR="00871235" w:rsidRDefault="00871235" w:rsidP="001B7386">
            <w:r>
              <w:t>-PAYMENT CARD</w:t>
            </w:r>
            <w:r w:rsidR="00526583">
              <w:t xml:space="preserve"> [</w:t>
            </w:r>
            <w:r w:rsidR="00526583" w:rsidRPr="00526583">
              <w:rPr>
                <w:b/>
              </w:rPr>
              <w:t>CAP</w:t>
            </w:r>
            <w:r w:rsidR="00526583">
              <w:t>]</w:t>
            </w:r>
          </w:p>
          <w:p w:rsidR="00D07336" w:rsidRDefault="00D07336" w:rsidP="00871235">
            <w:r>
              <w:t>- E-MONEY TRANSFER [</w:t>
            </w:r>
            <w:r w:rsidRPr="00E96D31">
              <w:rPr>
                <w:b/>
              </w:rPr>
              <w:t>EM</w:t>
            </w:r>
            <w:r w:rsidR="0032127F" w:rsidRPr="00E96D31">
              <w:rPr>
                <w:b/>
              </w:rPr>
              <w:t>T</w:t>
            </w:r>
            <w:r>
              <w:t>]</w:t>
            </w:r>
          </w:p>
          <w:p w:rsidR="00E766A0" w:rsidRDefault="00871235" w:rsidP="00871235">
            <w:r>
              <w:t>-</w:t>
            </w:r>
            <w:r w:rsidRPr="00871235">
              <w:t>OTHER</w:t>
            </w:r>
            <w:r w:rsidR="00526583">
              <w:t xml:space="preserve"> [</w:t>
            </w:r>
            <w:r w:rsidR="00526583" w:rsidRPr="00526583">
              <w:rPr>
                <w:b/>
              </w:rPr>
              <w:t>AUT</w:t>
            </w:r>
            <w:r w:rsidR="00526583">
              <w:t>]</w:t>
            </w:r>
          </w:p>
          <w:p w:rsidR="001B7386" w:rsidRDefault="001B7386" w:rsidP="001B7386">
            <w:r>
              <w:t>-UNKNOWN [</w:t>
            </w:r>
            <w:r>
              <w:rPr>
                <w:b/>
              </w:rPr>
              <w:t>INC</w:t>
            </w:r>
            <w:r>
              <w:t>]</w:t>
            </w:r>
          </w:p>
          <w:p w:rsidR="001B7386" w:rsidRDefault="001B7386" w:rsidP="00871235"/>
          <w:p w:rsidR="001B7386" w:rsidRDefault="001B7386" w:rsidP="00871235"/>
          <w:p w:rsidR="00AD1027" w:rsidRPr="00E9050D" w:rsidRDefault="00AD1027" w:rsidP="00871235">
            <w:pPr>
              <w:rPr>
                <w:strike/>
              </w:rPr>
            </w:pPr>
          </w:p>
        </w:tc>
        <w:tc>
          <w:tcPr>
            <w:tcW w:w="4536" w:type="dxa"/>
          </w:tcPr>
          <w:p w:rsidR="00E766A0" w:rsidRDefault="00325071" w:rsidP="00325071">
            <w:r>
              <w:t>T</w:t>
            </w:r>
            <w:r w:rsidR="007C1B66" w:rsidRPr="007C1B66">
              <w:t xml:space="preserve">he payment instrument used to perform the </w:t>
            </w:r>
            <w:r w:rsidR="001B6489">
              <w:t>operation</w:t>
            </w:r>
            <w:r w:rsidR="008451FB">
              <w:t>:</w:t>
            </w:r>
          </w:p>
          <w:p w:rsidR="008451FB" w:rsidRDefault="008451FB" w:rsidP="00325071">
            <w:r>
              <w:t>-</w:t>
            </w:r>
            <w:r w:rsidR="0094074A">
              <w:t>a credit transfer:  transaction initiated by the payer (the debtor) to debit the payers</w:t>
            </w:r>
            <w:r>
              <w:t>’ account and credit the</w:t>
            </w:r>
            <w:r w:rsidR="00EA3C07">
              <w:t xml:space="preserve"> payee</w:t>
            </w:r>
            <w:r>
              <w:t>’s account (the creditor</w:t>
            </w:r>
            <w:r w:rsidR="00EA3C07">
              <w:t>’s account</w:t>
            </w:r>
            <w:r>
              <w:t>)</w:t>
            </w:r>
            <w:r w:rsidR="00EA3C07">
              <w:t>. Transactions initiated in a SEPA credit transfer scheme are reported as SEPA Credit transfers.</w:t>
            </w:r>
          </w:p>
          <w:p w:rsidR="00EA3C07" w:rsidRDefault="00EA3C07" w:rsidP="00325071">
            <w:r>
              <w:t>-a direct debit: transaction initiated by the payee (the creditor) to debit the payer’s account (the debtor’s account) on the basis of a consent given by the payer (the debtor). Transactions initiated in a SEPA direct debit scheme are reported as SEPA Direct debits.</w:t>
            </w:r>
          </w:p>
          <w:p w:rsidR="0057725C" w:rsidRDefault="0057725C" w:rsidP="00325071">
            <w:r>
              <w:t>-a payment card: an instrument enabling their holders to make (pay for) purchases and withdraw cash at teller machines.</w:t>
            </w:r>
          </w:p>
          <w:p w:rsidR="00D614AB" w:rsidRDefault="00D614AB" w:rsidP="00325071">
            <w:r>
              <w:lastRenderedPageBreak/>
              <w:t>-</w:t>
            </w:r>
            <w:r w:rsidR="00D07336">
              <w:t xml:space="preserve"> an e-money transfer</w:t>
            </w:r>
            <w:r w:rsidR="00215A8F">
              <w:t>: a transfer in electronic money.</w:t>
            </w:r>
          </w:p>
          <w:p w:rsidR="00D74C00" w:rsidRDefault="00A747DF" w:rsidP="00325071">
            <w:r>
              <w:t xml:space="preserve">-“other” can be reported </w:t>
            </w:r>
            <w:r w:rsidR="00AD1027">
              <w:t xml:space="preserve">if </w:t>
            </w:r>
            <w:r>
              <w:t>the instrument used is not listed.</w:t>
            </w:r>
          </w:p>
          <w:p w:rsidR="001B7386" w:rsidRDefault="001B7386" w:rsidP="00325071">
            <w:r>
              <w:t>-“unknown” can be reported if the instrument used is not known.</w:t>
            </w:r>
          </w:p>
          <w:p w:rsidR="00D74C00" w:rsidRPr="00BA6D68" w:rsidRDefault="00BA6D68" w:rsidP="00325071">
            <w:r w:rsidRPr="00BA6D68">
              <w:t>Remark: if the op</w:t>
            </w:r>
            <w:r>
              <w:t>eration type  is “on-us”, the underlying payment instrument to be reported is either SCT (for transactions in euro) or CT (for transactions in other currencies).</w:t>
            </w:r>
          </w:p>
        </w:tc>
      </w:tr>
      <w:tr w:rsidR="00E766A0" w:rsidTr="001902C2">
        <w:tc>
          <w:tcPr>
            <w:tcW w:w="2958" w:type="dxa"/>
          </w:tcPr>
          <w:p w:rsidR="00633C3F" w:rsidRDefault="00633C3F" w:rsidP="001902C2">
            <w:r w:rsidRPr="00633C3F">
              <w:lastRenderedPageBreak/>
              <w:t>Value</w:t>
            </w:r>
          </w:p>
        </w:tc>
        <w:tc>
          <w:tcPr>
            <w:tcW w:w="3387" w:type="dxa"/>
          </w:tcPr>
          <w:p w:rsidR="00E766A0" w:rsidRDefault="00F209C1" w:rsidP="0073404C">
            <w:r>
              <w:t>[VALE]</w:t>
            </w:r>
          </w:p>
        </w:tc>
        <w:tc>
          <w:tcPr>
            <w:tcW w:w="4536" w:type="dxa"/>
          </w:tcPr>
          <w:p w:rsidR="00633C3F" w:rsidRDefault="00633C3F" w:rsidP="00633C3F">
            <w:r>
              <w:t xml:space="preserve">Value corresponding to the volume of transactions. </w:t>
            </w:r>
          </w:p>
          <w:p w:rsidR="00E766A0" w:rsidRPr="001902C2" w:rsidRDefault="00633C3F" w:rsidP="00633C3F">
            <w:r>
              <w:t>The value of payment transactions should be provided in the accounting currency of the reporting agent</w:t>
            </w:r>
            <w:r w:rsidR="00325071">
              <w:t>.</w:t>
            </w:r>
          </w:p>
        </w:tc>
      </w:tr>
      <w:tr w:rsidR="007C1B66" w:rsidTr="001902C2">
        <w:tc>
          <w:tcPr>
            <w:tcW w:w="2958" w:type="dxa"/>
          </w:tcPr>
          <w:p w:rsidR="007C1B66" w:rsidRDefault="00633C3F" w:rsidP="001902C2">
            <w:r w:rsidRPr="00633C3F">
              <w:t>Volume</w:t>
            </w:r>
          </w:p>
        </w:tc>
        <w:tc>
          <w:tcPr>
            <w:tcW w:w="3387" w:type="dxa"/>
          </w:tcPr>
          <w:p w:rsidR="007C1B66" w:rsidRDefault="00F209C1" w:rsidP="0073404C">
            <w:r>
              <w:t>[VOLU]</w:t>
            </w:r>
          </w:p>
        </w:tc>
        <w:tc>
          <w:tcPr>
            <w:tcW w:w="4536" w:type="dxa"/>
          </w:tcPr>
          <w:p w:rsidR="00661D28" w:rsidRDefault="00633C3F" w:rsidP="001902C2">
            <w:r w:rsidRPr="00633C3F">
              <w:t xml:space="preserve">The volume is a quantitative indicator on </w:t>
            </w:r>
            <w:r w:rsidR="00661D28" w:rsidRPr="00633C3F">
              <w:t>the number</w:t>
            </w:r>
            <w:r w:rsidR="00661D28">
              <w:br/>
              <w:t>-</w:t>
            </w:r>
            <w:r w:rsidRPr="00633C3F">
              <w:t xml:space="preserve"> </w:t>
            </w:r>
            <w:r w:rsidR="00661D28">
              <w:t xml:space="preserve">of accounts opened by the reporting agent for its customers (V1.15.1) </w:t>
            </w:r>
          </w:p>
          <w:p w:rsidR="007C1B66" w:rsidRPr="001902C2" w:rsidRDefault="00661D28" w:rsidP="00325071">
            <w:r>
              <w:t>-</w:t>
            </w:r>
            <w:r w:rsidR="00633C3F" w:rsidRPr="00633C3F">
              <w:t>of transactions</w:t>
            </w:r>
            <w:r>
              <w:t xml:space="preserve"> (V1.15.3 and V1.15.6) processed by the reporting agent</w:t>
            </w:r>
            <w:r w:rsidR="00325071">
              <w:t>.</w:t>
            </w:r>
          </w:p>
        </w:tc>
      </w:tr>
    </w:tbl>
    <w:p w:rsidR="00C56B15" w:rsidRPr="0073404C" w:rsidRDefault="00C56B15" w:rsidP="0073404C"/>
    <w:sectPr w:rsidR="00C56B15" w:rsidRPr="0073404C" w:rsidSect="0045502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0DA" w:rsidRDefault="00F700DA" w:rsidP="00674F47">
      <w:pPr>
        <w:spacing w:after="0" w:line="240" w:lineRule="auto"/>
      </w:pPr>
      <w:r>
        <w:separator/>
      </w:r>
    </w:p>
  </w:endnote>
  <w:endnote w:type="continuationSeparator" w:id="0">
    <w:p w:rsidR="00F700DA" w:rsidRDefault="00F700DA" w:rsidP="0067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67347"/>
      <w:docPartObj>
        <w:docPartGallery w:val="Page Numbers (Bottom of Page)"/>
        <w:docPartUnique/>
      </w:docPartObj>
    </w:sdtPr>
    <w:sdtEndPr/>
    <w:sdtContent>
      <w:p w:rsidR="00F700DA" w:rsidRDefault="00836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7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00DA" w:rsidRDefault="00F70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0DA" w:rsidRDefault="00F700DA" w:rsidP="00674F47">
      <w:pPr>
        <w:spacing w:after="0" w:line="240" w:lineRule="auto"/>
      </w:pPr>
      <w:r>
        <w:separator/>
      </w:r>
    </w:p>
  </w:footnote>
  <w:footnote w:type="continuationSeparator" w:id="0">
    <w:p w:rsidR="00F700DA" w:rsidRDefault="00F700DA" w:rsidP="00674F47">
      <w:pPr>
        <w:spacing w:after="0" w:line="240" w:lineRule="auto"/>
      </w:pPr>
      <w:r>
        <w:continuationSeparator/>
      </w:r>
    </w:p>
  </w:footnote>
  <w:footnote w:id="1">
    <w:p w:rsidR="00F700DA" w:rsidRDefault="00F700DA">
      <w:pPr>
        <w:pStyle w:val="FootnoteText"/>
        <w:rPr>
          <w:sz w:val="16"/>
          <w:szCs w:val="16"/>
        </w:rPr>
      </w:pPr>
      <w:r w:rsidRPr="00C02499"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C60837">
        <w:rPr>
          <w:sz w:val="16"/>
          <w:szCs w:val="16"/>
        </w:rPr>
        <w:t>E.g. Payment initiation service means a service to initiate a payment order at the request of the payment service user with respect to a payment account held at another payment service provider, PSD2, Art. 4.14.</w:t>
      </w:r>
    </w:p>
    <w:p w:rsidR="00F700DA" w:rsidRPr="00C02499" w:rsidRDefault="00F700DA">
      <w:pPr>
        <w:pStyle w:val="FootnoteText"/>
        <w:rPr>
          <w:sz w:val="16"/>
          <w:szCs w:val="16"/>
          <w:lang w:val="lb-L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0DA" w:rsidRDefault="00F700DA">
    <w:pPr>
      <w:pStyle w:val="Header"/>
    </w:pPr>
    <w:r>
      <w:t>V1.15 reporting instructions (10 jan</w:t>
    </w:r>
    <w:r w:rsidR="00C06D2E">
      <w:t>uary</w:t>
    </w:r>
    <w:r>
      <w:t xml:space="preserve"> 2017)</w:t>
    </w:r>
  </w:p>
  <w:p w:rsidR="00F700DA" w:rsidRDefault="00F70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352BC"/>
    <w:multiLevelType w:val="hybridMultilevel"/>
    <w:tmpl w:val="85327360"/>
    <w:lvl w:ilvl="0" w:tplc="FACE7114">
      <w:start w:val="2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D7857"/>
    <w:multiLevelType w:val="hybridMultilevel"/>
    <w:tmpl w:val="8D126392"/>
    <w:lvl w:ilvl="0" w:tplc="193C65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90AB2"/>
    <w:multiLevelType w:val="hybridMultilevel"/>
    <w:tmpl w:val="952C2E96"/>
    <w:lvl w:ilvl="0" w:tplc="379A61D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F6AF2"/>
    <w:multiLevelType w:val="hybridMultilevel"/>
    <w:tmpl w:val="15DE2F34"/>
    <w:lvl w:ilvl="0" w:tplc="EB2CB78E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10300A"/>
    <w:multiLevelType w:val="hybridMultilevel"/>
    <w:tmpl w:val="40706E3C"/>
    <w:lvl w:ilvl="0" w:tplc="EB2CB78E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B0"/>
    <w:rsid w:val="000134E8"/>
    <w:rsid w:val="000146D3"/>
    <w:rsid w:val="000210BB"/>
    <w:rsid w:val="00030821"/>
    <w:rsid w:val="00040C7E"/>
    <w:rsid w:val="000425D0"/>
    <w:rsid w:val="000445DF"/>
    <w:rsid w:val="00053F09"/>
    <w:rsid w:val="0005456F"/>
    <w:rsid w:val="000859C1"/>
    <w:rsid w:val="00085E0D"/>
    <w:rsid w:val="000A0F04"/>
    <w:rsid w:val="000B59E5"/>
    <w:rsid w:val="000E5862"/>
    <w:rsid w:val="000F21C6"/>
    <w:rsid w:val="001033D4"/>
    <w:rsid w:val="001038A0"/>
    <w:rsid w:val="00121E5C"/>
    <w:rsid w:val="0012414B"/>
    <w:rsid w:val="00125827"/>
    <w:rsid w:val="0012750A"/>
    <w:rsid w:val="00144E01"/>
    <w:rsid w:val="00145629"/>
    <w:rsid w:val="001635BA"/>
    <w:rsid w:val="0016473E"/>
    <w:rsid w:val="0017494F"/>
    <w:rsid w:val="001902C2"/>
    <w:rsid w:val="00193011"/>
    <w:rsid w:val="001A1EB4"/>
    <w:rsid w:val="001B1B81"/>
    <w:rsid w:val="001B6489"/>
    <w:rsid w:val="001B70F8"/>
    <w:rsid w:val="001B7386"/>
    <w:rsid w:val="001C6466"/>
    <w:rsid w:val="001D25DB"/>
    <w:rsid w:val="001D590F"/>
    <w:rsid w:val="001D6715"/>
    <w:rsid w:val="001E7E08"/>
    <w:rsid w:val="002006D5"/>
    <w:rsid w:val="00215A8F"/>
    <w:rsid w:val="00227DD7"/>
    <w:rsid w:val="00252001"/>
    <w:rsid w:val="0025504F"/>
    <w:rsid w:val="002617BE"/>
    <w:rsid w:val="00270834"/>
    <w:rsid w:val="00275035"/>
    <w:rsid w:val="00295893"/>
    <w:rsid w:val="002A29E8"/>
    <w:rsid w:val="002D2B1D"/>
    <w:rsid w:val="002E6235"/>
    <w:rsid w:val="002E698A"/>
    <w:rsid w:val="002F4070"/>
    <w:rsid w:val="0032127F"/>
    <w:rsid w:val="00325071"/>
    <w:rsid w:val="00333DD0"/>
    <w:rsid w:val="0034359A"/>
    <w:rsid w:val="00352510"/>
    <w:rsid w:val="00357A14"/>
    <w:rsid w:val="0038245D"/>
    <w:rsid w:val="00396898"/>
    <w:rsid w:val="003A2E90"/>
    <w:rsid w:val="003A3414"/>
    <w:rsid w:val="003A35A0"/>
    <w:rsid w:val="003B7992"/>
    <w:rsid w:val="003C5D52"/>
    <w:rsid w:val="003D2D64"/>
    <w:rsid w:val="004064BA"/>
    <w:rsid w:val="00411141"/>
    <w:rsid w:val="004112F2"/>
    <w:rsid w:val="00420578"/>
    <w:rsid w:val="00420649"/>
    <w:rsid w:val="00455029"/>
    <w:rsid w:val="00477AA5"/>
    <w:rsid w:val="004853B8"/>
    <w:rsid w:val="004918AF"/>
    <w:rsid w:val="00493F60"/>
    <w:rsid w:val="004E2512"/>
    <w:rsid w:val="004F759E"/>
    <w:rsid w:val="005156C5"/>
    <w:rsid w:val="00524CF3"/>
    <w:rsid w:val="00526583"/>
    <w:rsid w:val="00542861"/>
    <w:rsid w:val="0056556F"/>
    <w:rsid w:val="0057725C"/>
    <w:rsid w:val="005A07F1"/>
    <w:rsid w:val="005B6B61"/>
    <w:rsid w:val="005C7A04"/>
    <w:rsid w:val="005D1D7F"/>
    <w:rsid w:val="005D5150"/>
    <w:rsid w:val="005D71D2"/>
    <w:rsid w:val="005E199F"/>
    <w:rsid w:val="005F129A"/>
    <w:rsid w:val="005F4467"/>
    <w:rsid w:val="00614DB9"/>
    <w:rsid w:val="0062070F"/>
    <w:rsid w:val="0063233B"/>
    <w:rsid w:val="00633C3F"/>
    <w:rsid w:val="006426C2"/>
    <w:rsid w:val="006517D4"/>
    <w:rsid w:val="006535DD"/>
    <w:rsid w:val="00661D28"/>
    <w:rsid w:val="006656CF"/>
    <w:rsid w:val="00674F47"/>
    <w:rsid w:val="00680CB0"/>
    <w:rsid w:val="006829C0"/>
    <w:rsid w:val="0069467B"/>
    <w:rsid w:val="006A41F7"/>
    <w:rsid w:val="006D012A"/>
    <w:rsid w:val="006D23B3"/>
    <w:rsid w:val="006D6096"/>
    <w:rsid w:val="00720C7D"/>
    <w:rsid w:val="0073404C"/>
    <w:rsid w:val="00734858"/>
    <w:rsid w:val="00741932"/>
    <w:rsid w:val="00744CA8"/>
    <w:rsid w:val="00753214"/>
    <w:rsid w:val="0076284F"/>
    <w:rsid w:val="00767400"/>
    <w:rsid w:val="00783B19"/>
    <w:rsid w:val="0078530F"/>
    <w:rsid w:val="00794DD0"/>
    <w:rsid w:val="007962AD"/>
    <w:rsid w:val="007B7A60"/>
    <w:rsid w:val="007C1B66"/>
    <w:rsid w:val="007E1EF5"/>
    <w:rsid w:val="007E65EB"/>
    <w:rsid w:val="00803D7B"/>
    <w:rsid w:val="008143C5"/>
    <w:rsid w:val="008167F6"/>
    <w:rsid w:val="00825AEE"/>
    <w:rsid w:val="00831C1E"/>
    <w:rsid w:val="0083612F"/>
    <w:rsid w:val="00843EBF"/>
    <w:rsid w:val="008451FB"/>
    <w:rsid w:val="00866349"/>
    <w:rsid w:val="00871235"/>
    <w:rsid w:val="008750AD"/>
    <w:rsid w:val="00880E60"/>
    <w:rsid w:val="008A0A65"/>
    <w:rsid w:val="008A3369"/>
    <w:rsid w:val="008E419B"/>
    <w:rsid w:val="009113B4"/>
    <w:rsid w:val="00913248"/>
    <w:rsid w:val="009216E5"/>
    <w:rsid w:val="009247C4"/>
    <w:rsid w:val="00925439"/>
    <w:rsid w:val="0094074A"/>
    <w:rsid w:val="00945DE4"/>
    <w:rsid w:val="00950A5A"/>
    <w:rsid w:val="009528FB"/>
    <w:rsid w:val="009654CF"/>
    <w:rsid w:val="00966766"/>
    <w:rsid w:val="009700F3"/>
    <w:rsid w:val="00973770"/>
    <w:rsid w:val="00977A76"/>
    <w:rsid w:val="0099793F"/>
    <w:rsid w:val="009B3709"/>
    <w:rsid w:val="009D25FC"/>
    <w:rsid w:val="009E2D20"/>
    <w:rsid w:val="00A0111E"/>
    <w:rsid w:val="00A15ACB"/>
    <w:rsid w:val="00A32374"/>
    <w:rsid w:val="00A35F5B"/>
    <w:rsid w:val="00A569D0"/>
    <w:rsid w:val="00A71B3F"/>
    <w:rsid w:val="00A747DF"/>
    <w:rsid w:val="00A80FAC"/>
    <w:rsid w:val="00A82661"/>
    <w:rsid w:val="00AB7454"/>
    <w:rsid w:val="00AD1027"/>
    <w:rsid w:val="00AD27EB"/>
    <w:rsid w:val="00AF5793"/>
    <w:rsid w:val="00AF71DD"/>
    <w:rsid w:val="00AF7615"/>
    <w:rsid w:val="00B005AC"/>
    <w:rsid w:val="00B16169"/>
    <w:rsid w:val="00B34C17"/>
    <w:rsid w:val="00B7165B"/>
    <w:rsid w:val="00B7445F"/>
    <w:rsid w:val="00BA6D68"/>
    <w:rsid w:val="00BB1433"/>
    <w:rsid w:val="00BF20C4"/>
    <w:rsid w:val="00C02499"/>
    <w:rsid w:val="00C06D2E"/>
    <w:rsid w:val="00C15C87"/>
    <w:rsid w:val="00C37479"/>
    <w:rsid w:val="00C45067"/>
    <w:rsid w:val="00C47ECF"/>
    <w:rsid w:val="00C56B15"/>
    <w:rsid w:val="00C60837"/>
    <w:rsid w:val="00C64E7C"/>
    <w:rsid w:val="00C668A5"/>
    <w:rsid w:val="00C77577"/>
    <w:rsid w:val="00CB3FED"/>
    <w:rsid w:val="00CF0D94"/>
    <w:rsid w:val="00D04D50"/>
    <w:rsid w:val="00D07336"/>
    <w:rsid w:val="00D20A80"/>
    <w:rsid w:val="00D25874"/>
    <w:rsid w:val="00D42E1C"/>
    <w:rsid w:val="00D614AB"/>
    <w:rsid w:val="00D64F97"/>
    <w:rsid w:val="00D7150D"/>
    <w:rsid w:val="00D74C00"/>
    <w:rsid w:val="00D92092"/>
    <w:rsid w:val="00D961E2"/>
    <w:rsid w:val="00DA30B6"/>
    <w:rsid w:val="00DB2066"/>
    <w:rsid w:val="00DB3C16"/>
    <w:rsid w:val="00DC6FC1"/>
    <w:rsid w:val="00DD24EE"/>
    <w:rsid w:val="00DD37B6"/>
    <w:rsid w:val="00DE1296"/>
    <w:rsid w:val="00DF3A0C"/>
    <w:rsid w:val="00E23663"/>
    <w:rsid w:val="00E245A9"/>
    <w:rsid w:val="00E2496D"/>
    <w:rsid w:val="00E47640"/>
    <w:rsid w:val="00E641FA"/>
    <w:rsid w:val="00E766A0"/>
    <w:rsid w:val="00E9050D"/>
    <w:rsid w:val="00E9124C"/>
    <w:rsid w:val="00E9535E"/>
    <w:rsid w:val="00E96D31"/>
    <w:rsid w:val="00EA179F"/>
    <w:rsid w:val="00EA3C07"/>
    <w:rsid w:val="00EA63D3"/>
    <w:rsid w:val="00EB44A2"/>
    <w:rsid w:val="00EC69BE"/>
    <w:rsid w:val="00ED2C18"/>
    <w:rsid w:val="00EE19BB"/>
    <w:rsid w:val="00EF3A08"/>
    <w:rsid w:val="00EF6C16"/>
    <w:rsid w:val="00F108EA"/>
    <w:rsid w:val="00F16E6B"/>
    <w:rsid w:val="00F209C1"/>
    <w:rsid w:val="00F454EC"/>
    <w:rsid w:val="00F5086D"/>
    <w:rsid w:val="00F52817"/>
    <w:rsid w:val="00F5390F"/>
    <w:rsid w:val="00F553D9"/>
    <w:rsid w:val="00F700DA"/>
    <w:rsid w:val="00F71480"/>
    <w:rsid w:val="00F71C30"/>
    <w:rsid w:val="00F7526F"/>
    <w:rsid w:val="00F7626B"/>
    <w:rsid w:val="00F76B58"/>
    <w:rsid w:val="00F81D8A"/>
    <w:rsid w:val="00F86665"/>
    <w:rsid w:val="00F87B4A"/>
    <w:rsid w:val="00FA7482"/>
    <w:rsid w:val="00FB67E1"/>
    <w:rsid w:val="00FC20E8"/>
    <w:rsid w:val="00FE009C"/>
    <w:rsid w:val="00FE66D1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75FAC-8E3A-48F2-BFE2-E75D9247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A65"/>
  </w:style>
  <w:style w:type="paragraph" w:styleId="Heading1">
    <w:name w:val="heading 1"/>
    <w:basedOn w:val="Normal"/>
    <w:next w:val="Normal"/>
    <w:link w:val="Heading1Char"/>
    <w:uiPriority w:val="9"/>
    <w:qFormat/>
    <w:rsid w:val="00E47640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5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7B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D2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3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3B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674F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4F47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74F4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47640"/>
    <w:rPr>
      <w:rFonts w:ascii="Cambria" w:eastAsia="Times New Roman" w:hAnsi="Cambria" w:cs="Times New Roman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445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45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E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99F"/>
  </w:style>
  <w:style w:type="paragraph" w:styleId="Footer">
    <w:name w:val="footer"/>
    <w:basedOn w:val="Normal"/>
    <w:link w:val="FooterChar"/>
    <w:uiPriority w:val="99"/>
    <w:unhideWhenUsed/>
    <w:rsid w:val="005E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99F"/>
  </w:style>
  <w:style w:type="paragraph" w:customStyle="1" w:styleId="Tabelle">
    <w:name w:val="Tabelle"/>
    <w:basedOn w:val="Normal"/>
    <w:rsid w:val="008E419B"/>
    <w:pPr>
      <w:tabs>
        <w:tab w:val="right" w:pos="9072"/>
      </w:tabs>
      <w:suppressAutoHyphens/>
      <w:autoSpaceDE w:val="0"/>
      <w:autoSpaceDN w:val="0"/>
      <w:adjustRightInd w:val="0"/>
      <w:spacing w:after="57" w:line="200" w:lineRule="atLeast"/>
      <w:textAlignment w:val="baseline"/>
    </w:pPr>
    <w:rPr>
      <w:rFonts w:ascii="TimesNewRomanPS" w:eastAsia="Times New Roman" w:hAnsi="TimesNewRomanPS" w:cs="TimesNewRomanPS"/>
      <w:color w:val="000000"/>
      <w:spacing w:val="6"/>
      <w:w w:val="95"/>
      <w:sz w:val="18"/>
      <w:szCs w:val="18"/>
      <w:lang w:val="en-GB" w:eastAsia="de-DE"/>
    </w:rPr>
  </w:style>
  <w:style w:type="paragraph" w:customStyle="1" w:styleId="norm">
    <w:name w:val="norm"/>
    <w:basedOn w:val="Normal"/>
    <w:link w:val="normChar"/>
    <w:rsid w:val="00333DD0"/>
    <w:pPr>
      <w:tabs>
        <w:tab w:val="left" w:pos="851"/>
        <w:tab w:val="right" w:pos="9356"/>
      </w:tabs>
      <w:spacing w:before="60" w:after="60" w:line="360" w:lineRule="atLeast"/>
      <w:jc w:val="both"/>
    </w:pPr>
    <w:rPr>
      <w:rFonts w:ascii="Calibri" w:eastAsia="Times New Roman" w:hAnsi="Calibri" w:cs="Times New Roman"/>
      <w:szCs w:val="24"/>
      <w:lang w:val="en-GB" w:eastAsia="en-GB"/>
    </w:rPr>
  </w:style>
  <w:style w:type="character" w:customStyle="1" w:styleId="normChar">
    <w:name w:val="norm Char"/>
    <w:link w:val="norm"/>
    <w:locked/>
    <w:rsid w:val="00333DD0"/>
    <w:rPr>
      <w:rFonts w:ascii="Calibri" w:eastAsia="Times New Roman" w:hAnsi="Calibri" w:cs="Times New Roman"/>
      <w:szCs w:val="24"/>
      <w:lang w:val="en-GB" w:eastAsia="en-GB"/>
    </w:rPr>
  </w:style>
  <w:style w:type="paragraph" w:customStyle="1" w:styleId="CM1">
    <w:name w:val="CM1"/>
    <w:basedOn w:val="Normal"/>
    <w:next w:val="Normal"/>
    <w:uiPriority w:val="99"/>
    <w:rsid w:val="0094074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lb-LU"/>
    </w:rPr>
  </w:style>
  <w:style w:type="paragraph" w:customStyle="1" w:styleId="CM3">
    <w:name w:val="CM3"/>
    <w:basedOn w:val="Normal"/>
    <w:next w:val="Normal"/>
    <w:uiPriority w:val="99"/>
    <w:rsid w:val="0094074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lb-LU"/>
    </w:rPr>
  </w:style>
  <w:style w:type="paragraph" w:customStyle="1" w:styleId="CM4">
    <w:name w:val="CM4"/>
    <w:basedOn w:val="Normal"/>
    <w:next w:val="Normal"/>
    <w:uiPriority w:val="99"/>
    <w:rsid w:val="0094074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lb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74A94-3C60-4B18-8F6B-A94CBCE9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1727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BcL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Rottenberg - BcL</dc:creator>
  <cp:lastModifiedBy>mbecker</cp:lastModifiedBy>
  <cp:revision>7</cp:revision>
  <cp:lastPrinted>2019-07-16T15:43:00Z</cp:lastPrinted>
  <dcterms:created xsi:type="dcterms:W3CDTF">2019-07-15T14:23:00Z</dcterms:created>
  <dcterms:modified xsi:type="dcterms:W3CDTF">2019-07-16T16:08:00Z</dcterms:modified>
</cp:coreProperties>
</file>